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CF60AD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CF60AD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A5F1D">
        <w:rPr>
          <w:rFonts w:ascii="Times New Roman" w:eastAsia="Times New Roman" w:hAnsi="Times New Roman" w:cs="Times New Roman"/>
          <w:sz w:val="20"/>
          <w:szCs w:val="20"/>
          <w:lang w:eastAsia="cs-CZ"/>
        </w:rPr>
        <w:t>18435</w:t>
      </w:r>
      <w:r w:rsidR="007E0F65"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/2018</w:t>
      </w:r>
      <w:r w:rsidR="0078708E"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-SŽDC-SSV-Ú3/Kli</w:t>
      </w:r>
    </w:p>
    <w:p w:rsidR="0078708E" w:rsidRPr="00CF60AD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78708E" w:rsidRPr="00CF60AD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78708E" w:rsidRPr="00CF60AD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CF60AD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CF60AD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B90E4C"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29</w:t>
      </w:r>
      <w:r w:rsidR="0078708E" w:rsidRPr="00CF60AD">
        <w:rPr>
          <w:rFonts w:ascii="Times New Roman" w:eastAsia="Times New Roman" w:hAnsi="Times New Roman" w:cs="Times New Roman"/>
          <w:sz w:val="20"/>
          <w:szCs w:val="20"/>
          <w:lang w:eastAsia="cs-CZ"/>
        </w:rPr>
        <w:t>. 10. 2018</w:t>
      </w:r>
    </w:p>
    <w:p w:rsidR="0077051F" w:rsidRPr="00CF60AD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EB148A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EB148A"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>9</w:t>
      </w:r>
    </w:p>
    <w:p w:rsidR="0077051F" w:rsidRPr="00EB148A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B90E4C"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EB148A"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6</w:t>
      </w:r>
    </w:p>
    <w:p w:rsidR="0077051F" w:rsidRPr="00CF60AD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E45BF7" w:rsidRPr="00EB148A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CF60AD" w:rsidRDefault="00BE53B6" w:rsidP="00EC54F5">
      <w:pPr>
        <w:jc w:val="center"/>
        <w:rPr>
          <w:b/>
          <w:bCs/>
        </w:rPr>
      </w:pPr>
    </w:p>
    <w:p w:rsidR="005F188D" w:rsidRPr="00CF60A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Věc:</w:t>
      </w:r>
      <w:r w:rsidRPr="00CF60A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CF60A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8708E" w:rsidRPr="00CF60AD">
        <w:rPr>
          <w:rFonts w:ascii="Times New Roman" w:hAnsi="Times New Roman" w:cs="Times New Roman"/>
          <w:b/>
          <w:bCs/>
          <w:lang w:eastAsia="cs-CZ"/>
        </w:rPr>
        <w:t>Modernizace a elektrizace trati Šakvice - Hustopeče u Brna</w:t>
      </w:r>
    </w:p>
    <w:p w:rsidR="00D56BFE" w:rsidRPr="00CF60AD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Vysvětlení</w:t>
      </w:r>
      <w:r w:rsidR="003E5486" w:rsidRPr="00CF60AD">
        <w:rPr>
          <w:rFonts w:ascii="Times New Roman" w:hAnsi="Times New Roman" w:cs="Times New Roman"/>
          <w:lang w:eastAsia="cs-CZ"/>
        </w:rPr>
        <w:t xml:space="preserve">/ změna/ doplnění </w:t>
      </w:r>
      <w:r w:rsidRPr="00CF60AD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CF60AD">
        <w:rPr>
          <w:rFonts w:ascii="Times New Roman" w:hAnsi="Times New Roman" w:cs="Times New Roman"/>
          <w:lang w:eastAsia="cs-CZ"/>
        </w:rPr>
        <w:t xml:space="preserve">č. </w:t>
      </w:r>
      <w:r w:rsidR="00B90E4C" w:rsidRPr="00CF60AD">
        <w:rPr>
          <w:rFonts w:ascii="Times New Roman" w:eastAsia="Times New Roman" w:hAnsi="Times New Roman" w:cs="Times New Roman"/>
          <w:lang w:eastAsia="cs-CZ"/>
        </w:rPr>
        <w:t>6</w:t>
      </w:r>
      <w:r w:rsidR="00FA5EB3" w:rsidRPr="00CF60AD">
        <w:rPr>
          <w:rFonts w:ascii="Times New Roman" w:hAnsi="Times New Roman" w:cs="Times New Roman"/>
          <w:lang w:eastAsia="cs-CZ"/>
        </w:rPr>
        <w:t xml:space="preserve"> </w:t>
      </w:r>
    </w:p>
    <w:p w:rsidR="00FA5EB3" w:rsidRPr="00CF60AD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</w:rPr>
        <w:t xml:space="preserve">ve smyslu </w:t>
      </w:r>
      <w:r w:rsidRPr="00CF60AD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CF60AD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CF60AD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060F6" w:rsidRPr="00CF60AD" w:rsidRDefault="00B060F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90: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V poskytnuté dokumentaci, v části ZTP, zadavatel uvádí v bodě 4.6.1.1., že "nové vystrojené betonové pražce a kolejnice, které jsou součástí - SO 01-17-01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železniční svršek; SO 02-17-01 </w:t>
      </w:r>
      <w:proofErr w:type="spellStart"/>
      <w:proofErr w:type="gramStart"/>
      <w:r w:rsidRPr="00CF60AD">
        <w:rPr>
          <w:rFonts w:ascii="Times New Roman" w:hAnsi="Times New Roman" w:cs="Times New Roman"/>
        </w:rPr>
        <w:t>t.ú</w:t>
      </w:r>
      <w:proofErr w:type="spellEnd"/>
      <w:r w:rsidRPr="00CF60AD">
        <w:rPr>
          <w:rFonts w:ascii="Times New Roman" w:hAnsi="Times New Roman" w:cs="Times New Roman"/>
        </w:rPr>
        <w:t>.</w:t>
      </w:r>
      <w:proofErr w:type="gramEnd"/>
      <w:r w:rsidRPr="00CF60AD">
        <w:rPr>
          <w:rFonts w:ascii="Times New Roman" w:hAnsi="Times New Roman" w:cs="Times New Roman"/>
        </w:rPr>
        <w:t xml:space="preserve"> Šakvice – Hustopeče u Brna, železniční svršek; SO 03-17-01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železniční svršek - dle technické specifikace položky v Soupisu prací jednotlivých položek, nejsou součástí dodávky na zhotovení stavby a nejsou součástí nákladů stavby (nákup vystrojených betonových pražců a kolejnic provede centrálně Objednatel)."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Zároveň je uchazeč povinen ocenit soupis prací, který obsahuje objekty SO 01-17-01.2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železniční svršek, centrální nákup materiálu; SO 02-17-</w:t>
      </w:r>
      <w:proofErr w:type="gramStart"/>
      <w:r w:rsidRPr="00CF60AD">
        <w:rPr>
          <w:rFonts w:ascii="Times New Roman" w:hAnsi="Times New Roman" w:cs="Times New Roman"/>
        </w:rPr>
        <w:t>01.2  T.</w:t>
      </w:r>
      <w:proofErr w:type="gramEnd"/>
      <w:r w:rsidRPr="00CF60AD">
        <w:rPr>
          <w:rFonts w:ascii="Times New Roman" w:hAnsi="Times New Roman" w:cs="Times New Roman"/>
        </w:rPr>
        <w:t xml:space="preserve"> </w:t>
      </w:r>
      <w:proofErr w:type="spellStart"/>
      <w:r w:rsidRPr="00CF60AD">
        <w:rPr>
          <w:rFonts w:ascii="Times New Roman" w:hAnsi="Times New Roman" w:cs="Times New Roman"/>
        </w:rPr>
        <w:t>ú.</w:t>
      </w:r>
      <w:proofErr w:type="spellEnd"/>
      <w:r w:rsidRPr="00CF60AD">
        <w:rPr>
          <w:rFonts w:ascii="Times New Roman" w:hAnsi="Times New Roman" w:cs="Times New Roman"/>
        </w:rPr>
        <w:t xml:space="preserve"> Šakvice – Hustopeče u Brna, železniční svršek, centrální nákup materiálu; SO 03-17-01.2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železniční svršek, centrální nákup materiálu.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  <w:b/>
          <w:i/>
        </w:rPr>
      </w:pPr>
      <w:r w:rsidRPr="00CF60AD">
        <w:rPr>
          <w:rFonts w:ascii="Times New Roman" w:hAnsi="Times New Roman" w:cs="Times New Roman"/>
        </w:rPr>
        <w:t xml:space="preserve"> </w:t>
      </w:r>
      <w:r w:rsidRPr="00CF60AD">
        <w:rPr>
          <w:rFonts w:ascii="Times New Roman" w:hAnsi="Times New Roman" w:cs="Times New Roman"/>
          <w:b/>
          <w:i/>
        </w:rPr>
        <w:t>Žádáme zadavatele o upřesnění, případně vypuštění těchto objektů ze seznamu PS/SO, které uchazeč musí ocenit, jelikož by to mohlo vést k pochybnostem při oceňování položek, a navíc by uchazeč musel zdůvodnit, proč tyto položky ocenil nulou.</w:t>
      </w:r>
    </w:p>
    <w:p w:rsidR="006E16DA" w:rsidRPr="00EB148A" w:rsidRDefault="00EB148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EB148A">
        <w:rPr>
          <w:rFonts w:ascii="Times New Roman" w:hAnsi="Times New Roman" w:cs="Times New Roman"/>
          <w:b/>
          <w:lang w:eastAsia="cs-CZ"/>
        </w:rPr>
        <w:t>Odpověď:</w:t>
      </w:r>
    </w:p>
    <w:p w:rsidR="00EB148A" w:rsidRPr="00EB148A" w:rsidRDefault="00EB148A" w:rsidP="00EB148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EB148A">
        <w:rPr>
          <w:rFonts w:ascii="Times New Roman" w:hAnsi="Times New Roman" w:cs="Times New Roman"/>
          <w:b/>
          <w:bCs/>
          <w:lang w:eastAsia="cs-CZ"/>
        </w:rPr>
        <w:t>V </w:t>
      </w:r>
      <w:r w:rsidRPr="00EB148A">
        <w:rPr>
          <w:rFonts w:ascii="Times New Roman" w:hAnsi="Times New Roman" w:cs="Times New Roman"/>
        </w:rPr>
        <w:t xml:space="preserve">SO 01-17-01 </w:t>
      </w:r>
      <w:proofErr w:type="spellStart"/>
      <w:r w:rsidRPr="00EB148A">
        <w:rPr>
          <w:rFonts w:ascii="Times New Roman" w:hAnsi="Times New Roman" w:cs="Times New Roman"/>
        </w:rPr>
        <w:t>žst</w:t>
      </w:r>
      <w:proofErr w:type="spellEnd"/>
      <w:r w:rsidRPr="00EB148A">
        <w:rPr>
          <w:rFonts w:ascii="Times New Roman" w:hAnsi="Times New Roman" w:cs="Times New Roman"/>
        </w:rPr>
        <w:t xml:space="preserve">. Šakvice, železniční svršek; SO 02-17-01 </w:t>
      </w:r>
      <w:proofErr w:type="spellStart"/>
      <w:proofErr w:type="gramStart"/>
      <w:r w:rsidRPr="00EB148A">
        <w:rPr>
          <w:rFonts w:ascii="Times New Roman" w:hAnsi="Times New Roman" w:cs="Times New Roman"/>
        </w:rPr>
        <w:t>t.ú</w:t>
      </w:r>
      <w:proofErr w:type="spellEnd"/>
      <w:r w:rsidRPr="00EB148A">
        <w:rPr>
          <w:rFonts w:ascii="Times New Roman" w:hAnsi="Times New Roman" w:cs="Times New Roman"/>
        </w:rPr>
        <w:t>.</w:t>
      </w:r>
      <w:proofErr w:type="gramEnd"/>
      <w:r w:rsidRPr="00EB148A">
        <w:rPr>
          <w:rFonts w:ascii="Times New Roman" w:hAnsi="Times New Roman" w:cs="Times New Roman"/>
        </w:rPr>
        <w:t xml:space="preserve"> Šakvice – Hustopeče u Brna, železniční svršek; SO 03-17-01 </w:t>
      </w:r>
      <w:proofErr w:type="spellStart"/>
      <w:r w:rsidRPr="00EB148A">
        <w:rPr>
          <w:rFonts w:ascii="Times New Roman" w:hAnsi="Times New Roman" w:cs="Times New Roman"/>
        </w:rPr>
        <w:t>žst</w:t>
      </w:r>
      <w:proofErr w:type="spellEnd"/>
      <w:r w:rsidRPr="00EB148A">
        <w:rPr>
          <w:rFonts w:ascii="Times New Roman" w:hAnsi="Times New Roman" w:cs="Times New Roman"/>
        </w:rPr>
        <w:t xml:space="preserve">. Hustopeče u Brna, železniční svršek byly doplněny položky pro ocenění dopravy materiálu z místa předání (v doplněném textu je přesně specifikováno). </w:t>
      </w:r>
    </w:p>
    <w:p w:rsidR="00EB148A" w:rsidRPr="00EB148A" w:rsidRDefault="00EB148A" w:rsidP="00EB148A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B148A">
        <w:rPr>
          <w:rFonts w:ascii="Times New Roman" w:hAnsi="Times New Roman" w:cs="Times New Roman"/>
        </w:rPr>
        <w:t xml:space="preserve">V SO 01-17-01.2 </w:t>
      </w:r>
      <w:proofErr w:type="spellStart"/>
      <w:r w:rsidRPr="00EB148A">
        <w:rPr>
          <w:rFonts w:ascii="Times New Roman" w:hAnsi="Times New Roman" w:cs="Times New Roman"/>
        </w:rPr>
        <w:t>Žst</w:t>
      </w:r>
      <w:proofErr w:type="spellEnd"/>
      <w:r w:rsidRPr="00EB148A">
        <w:rPr>
          <w:rFonts w:ascii="Times New Roman" w:hAnsi="Times New Roman" w:cs="Times New Roman"/>
        </w:rPr>
        <w:t xml:space="preserve">. Šakvice, železniční svršek, centrální nákup materiálu; SO 02-17-01.2  T. </w:t>
      </w:r>
      <w:proofErr w:type="spellStart"/>
      <w:r w:rsidRPr="00EB148A">
        <w:rPr>
          <w:rFonts w:ascii="Times New Roman" w:hAnsi="Times New Roman" w:cs="Times New Roman"/>
        </w:rPr>
        <w:t>ú.</w:t>
      </w:r>
      <w:proofErr w:type="spellEnd"/>
      <w:r w:rsidRPr="00EB148A">
        <w:rPr>
          <w:rFonts w:ascii="Times New Roman" w:hAnsi="Times New Roman" w:cs="Times New Roman"/>
        </w:rPr>
        <w:t xml:space="preserve"> Šakvice – Hustopeče u Brna, železniční svršek, centrální nákup materiálu; SO 03-17-01.2 </w:t>
      </w:r>
      <w:proofErr w:type="spellStart"/>
      <w:r w:rsidRPr="00EB148A">
        <w:rPr>
          <w:rFonts w:ascii="Times New Roman" w:hAnsi="Times New Roman" w:cs="Times New Roman"/>
        </w:rPr>
        <w:t>Žst</w:t>
      </w:r>
      <w:proofErr w:type="spellEnd"/>
      <w:r w:rsidRPr="00EB148A">
        <w:rPr>
          <w:rFonts w:ascii="Times New Roman" w:hAnsi="Times New Roman" w:cs="Times New Roman"/>
        </w:rPr>
        <w:t xml:space="preserve">. Hustopeče u Brna, železniční svršek, centrální nákup materiálu byl upraven popis položek. </w:t>
      </w:r>
    </w:p>
    <w:p w:rsidR="00EB148A" w:rsidRPr="00EB148A" w:rsidRDefault="00EB148A" w:rsidP="00EB148A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B148A">
        <w:rPr>
          <w:rFonts w:ascii="Times New Roman" w:hAnsi="Times New Roman" w:cs="Times New Roman"/>
        </w:rPr>
        <w:t xml:space="preserve">SO 01-17-01.2; SO 02-17-01.2 a SO 03-17-01.2 nebudou zhotoviteli </w:t>
      </w:r>
      <w:proofErr w:type="spellStart"/>
      <w:r w:rsidRPr="00EB148A">
        <w:rPr>
          <w:rFonts w:ascii="Times New Roman" w:hAnsi="Times New Roman" w:cs="Times New Roman"/>
        </w:rPr>
        <w:t>naceňovány</w:t>
      </w:r>
      <w:proofErr w:type="spellEnd"/>
      <w:r w:rsidRPr="00EB148A">
        <w:rPr>
          <w:rFonts w:ascii="Times New Roman" w:hAnsi="Times New Roman" w:cs="Times New Roman"/>
        </w:rPr>
        <w:t>, jsou v soupise uvedeny kvůli určení celkového množství materiálu pro přepravu z místa předání na montážní základnu.</w:t>
      </w: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91: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V poskytnuté dokumentaci – v Příloze k nabídce je v bodě 8.2, 8.4 Doba pro dokončení, Prodloužení doby pro dokončení uvedeno, že "Zhotovitel je povinen dokončit celé Dílo včetně příslušné dokumentace dle pod-článku 7.9 do </w:t>
      </w:r>
      <w:r w:rsidRPr="00CF60AD">
        <w:rPr>
          <w:rFonts w:ascii="Times New Roman" w:hAnsi="Times New Roman" w:cs="Times New Roman"/>
          <w:b/>
          <w:bCs/>
        </w:rPr>
        <w:t>23 měsíců</w:t>
      </w:r>
      <w:r w:rsidRPr="00CF60AD">
        <w:rPr>
          <w:rFonts w:ascii="Times New Roman" w:hAnsi="Times New Roman" w:cs="Times New Roman"/>
        </w:rPr>
        <w:t xml:space="preserve"> od Data zahájení prací."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V bodě 8.2, 1.1.3.10 Doba pro uvedení do provozu je pak uvedeno, že "Zhotovitel je povinen dokončit Dílo v rozsahu nezbytném pro účely uvedení Díla nebo Sekce do provozu za podmínek stavebního zákona a zákona o drahách nejpozději do </w:t>
      </w:r>
      <w:r w:rsidRPr="00CF60AD">
        <w:rPr>
          <w:rFonts w:ascii="Times New Roman" w:hAnsi="Times New Roman" w:cs="Times New Roman"/>
          <w:b/>
          <w:bCs/>
        </w:rPr>
        <w:t>17 měsíců</w:t>
      </w:r>
      <w:r w:rsidRPr="00CF60AD">
        <w:rPr>
          <w:rFonts w:ascii="Times New Roman" w:hAnsi="Times New Roman" w:cs="Times New Roman"/>
        </w:rPr>
        <w:t xml:space="preserve"> od Data zahájení prací, vyjma následné úpravy směrového a výškového uspořádání koleje, které bude provedeno do </w:t>
      </w:r>
      <w:r w:rsidRPr="00CF60AD">
        <w:rPr>
          <w:rFonts w:ascii="Times New Roman" w:hAnsi="Times New Roman" w:cs="Times New Roman"/>
          <w:b/>
          <w:bCs/>
        </w:rPr>
        <w:t>5 měsíců</w:t>
      </w:r>
      <w:r w:rsidRPr="00CF60AD">
        <w:rPr>
          <w:rFonts w:ascii="Times New Roman" w:hAnsi="Times New Roman" w:cs="Times New Roman"/>
        </w:rPr>
        <w:t xml:space="preserve"> od Doby pro uvedení do provozu."</w:t>
      </w:r>
    </w:p>
    <w:p w:rsidR="006E16DA" w:rsidRPr="00CF60AD" w:rsidRDefault="006E16DA" w:rsidP="006E16DA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  <w:b/>
          <w:i/>
        </w:rPr>
      </w:pPr>
      <w:r w:rsidRPr="00CF60AD">
        <w:rPr>
          <w:rFonts w:ascii="Times New Roman" w:hAnsi="Times New Roman" w:cs="Times New Roman"/>
          <w:b/>
          <w:i/>
        </w:rPr>
        <w:lastRenderedPageBreak/>
        <w:t xml:space="preserve">Žádáme zadavatele o upřesnění, </w:t>
      </w:r>
      <w:proofErr w:type="gramStart"/>
      <w:r w:rsidRPr="00CF60AD">
        <w:rPr>
          <w:rFonts w:ascii="Times New Roman" w:hAnsi="Times New Roman" w:cs="Times New Roman"/>
          <w:b/>
          <w:i/>
        </w:rPr>
        <w:t>která</w:t>
      </w:r>
      <w:proofErr w:type="gramEnd"/>
      <w:r w:rsidRPr="00CF60AD">
        <w:rPr>
          <w:rFonts w:ascii="Times New Roman" w:hAnsi="Times New Roman" w:cs="Times New Roman"/>
          <w:b/>
          <w:i/>
        </w:rPr>
        <w:t xml:space="preserve"> lhůta je závazná pro účastníky zadávacího řízení.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>Odpověď: Doba závazná pro celkové ukončení Díla je 23 měsíců: 17 měsíců stavební práce + po 5 měsících směrová a výšková úprava koleje + 1 měsíc na definitivní zhotovení DSP  = po 23 měsících od začátku prací odevzdání DSP, ukončení zkušebního provozu a kolaudace celého Díla</w:t>
      </w:r>
    </w:p>
    <w:p w:rsidR="00B35C0E" w:rsidRPr="00CF60AD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6E16DA" w:rsidRPr="00CF60AD" w:rsidRDefault="006E16D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92:</w:t>
      </w:r>
    </w:p>
    <w:p w:rsidR="006E16DA" w:rsidRPr="00CF60AD" w:rsidRDefault="006E16DA" w:rsidP="006E16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cs-CZ"/>
        </w:rPr>
      </w:pPr>
      <w:r w:rsidRPr="00CF60AD">
        <w:rPr>
          <w:rFonts w:ascii="Times New Roman" w:eastAsia="Times New Roman" w:hAnsi="Times New Roman" w:cs="Times New Roman"/>
          <w:b/>
          <w:noProof/>
          <w:lang w:eastAsia="cs-CZ"/>
        </w:rPr>
        <w:t>Žádost o vysvětlení pod-článku 18.3 Zvláštních podmínek:</w:t>
      </w:r>
    </w:p>
    <w:p w:rsidR="006E16DA" w:rsidRPr="00CF60AD" w:rsidRDefault="006E16DA" w:rsidP="006E16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eastAsia="cs-CZ"/>
        </w:rPr>
      </w:pPr>
    </w:p>
    <w:p w:rsidR="006E16DA" w:rsidRPr="00CF60AD" w:rsidRDefault="006E16DA" w:rsidP="006E16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CF60AD">
        <w:rPr>
          <w:rFonts w:ascii="Times New Roman" w:eastAsia="Times New Roman" w:hAnsi="Times New Roman" w:cs="Times New Roman"/>
          <w:i/>
          <w:noProof/>
          <w:lang w:eastAsia="cs-CZ"/>
        </w:rPr>
        <w:t xml:space="preserve">Zadavatel v pátem odstavci Pod-článku 18.3 </w:t>
      </w:r>
      <w:r w:rsidRPr="00CF60AD">
        <w:rPr>
          <w:rFonts w:ascii="Times New Roman" w:eastAsia="Times New Roman" w:hAnsi="Times New Roman" w:cs="Times New Roman"/>
          <w:i/>
          <w:lang w:eastAsia="cs-CZ"/>
        </w:rPr>
        <w:t xml:space="preserve">Zvláštních </w:t>
      </w:r>
      <w:proofErr w:type="gramStart"/>
      <w:r w:rsidRPr="00CF60AD">
        <w:rPr>
          <w:rFonts w:ascii="Times New Roman" w:eastAsia="Times New Roman" w:hAnsi="Times New Roman" w:cs="Times New Roman"/>
          <w:i/>
          <w:lang w:eastAsia="cs-CZ"/>
        </w:rPr>
        <w:t>podmínek  stanoví</w:t>
      </w:r>
      <w:proofErr w:type="gramEnd"/>
      <w:r w:rsidRPr="00CF60AD">
        <w:rPr>
          <w:rFonts w:ascii="Times New Roman" w:eastAsia="Times New Roman" w:hAnsi="Times New Roman" w:cs="Times New Roman"/>
          <w:i/>
          <w:lang w:eastAsia="cs-CZ"/>
        </w:rPr>
        <w:t xml:space="preserve">, aby podzhotovitelé byli spolupojištěni v pojistných smlouvách, jejichž předmětem je pojištění odpovědnosti zhotovitele za škodu, která vznikne objednateli nebo třetím osobám v důsledku smrti nebo úrazu nebo za škodu na jejich majetku v souvislosti s realizací díla v důsledku činnosti zhotovitele (dále jen „pojištění odpovědnosti“), přičemž limit pojistného plnění pro tato jednotlivá pojištění bude činit minimálně  100 mil. Kč na jednu pojistnou událost a 200 mil. Kč v úhrnu za rok, a to nad rámec případné spoluúčasti. </w:t>
      </w:r>
    </w:p>
    <w:p w:rsidR="006E16DA" w:rsidRPr="00CF60AD" w:rsidRDefault="006E16DA" w:rsidP="006E16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i/>
          <w:lang w:eastAsia="cs-CZ"/>
        </w:rPr>
        <w:t>Zadavatel rovněž stanoví, že nebude-li spolupojištění podzhotovitelů možné, musí zhotovitel vyžadovat, aby podzhotovitelé splnili požadavky na pojištění uvedené výše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6E16DA" w:rsidRPr="00CF60AD" w:rsidRDefault="006E16DA" w:rsidP="006E16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E16DA" w:rsidRPr="00CF60AD" w:rsidRDefault="006E16DA" w:rsidP="006E16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Je smyslem tohoto požadavku zadavatele, aby všichni podzhotovitelé bez rozdílu měli sjednáno pojištění odpovědnosti s limitem pojistného plnění pro jednotlivá pojištění </w:t>
      </w:r>
      <w:proofErr w:type="gramStart"/>
      <w:r w:rsidRPr="00CF60AD">
        <w:rPr>
          <w:rFonts w:ascii="Times New Roman" w:eastAsia="Times New Roman" w:hAnsi="Times New Roman" w:cs="Times New Roman"/>
          <w:b/>
          <w:lang w:eastAsia="cs-CZ"/>
        </w:rPr>
        <w:t>minimálně  100</w:t>
      </w:r>
      <w:proofErr w:type="gramEnd"/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 mil. Kč na jednu pojistnou událost a 200 mil. Kč v úhrnu za rok, a to nad rámec případné spoluúčasti?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Tedy týká se požadavek zadavatele na výše uvedené limity pojistného plnění u pojištění odpovědnosti také podzhotovitelů, </w:t>
      </w:r>
      <w:r w:rsidRPr="00CF60AD">
        <w:rPr>
          <w:rFonts w:ascii="Times New Roman" w:eastAsia="Times New Roman" w:hAnsi="Times New Roman" w:cs="Times New Roman"/>
          <w:b/>
          <w:lang w:eastAsia="cs-CZ"/>
        </w:rPr>
        <w:t>kteří pouze dodávají materiál a/nebo zařízení nebo poskytují služby, jejichž součástí není provádění vlastních stavebních prací na díle</w:t>
      </w:r>
      <w:r w:rsidRPr="00CF60AD">
        <w:rPr>
          <w:rFonts w:ascii="Times New Roman" w:eastAsia="Times New Roman" w:hAnsi="Times New Roman" w:cs="Times New Roman"/>
          <w:lang w:eastAsia="cs-CZ"/>
        </w:rPr>
        <w:t>, a také podzhotovitelů</w:t>
      </w:r>
      <w:r w:rsidRPr="00CF60AD">
        <w:rPr>
          <w:rFonts w:ascii="Times New Roman" w:eastAsia="Times New Roman" w:hAnsi="Times New Roman" w:cs="Times New Roman"/>
          <w:b/>
          <w:lang w:eastAsia="cs-CZ"/>
        </w:rPr>
        <w:t>, kteří provádějí speciální činnosti nebo dodávají zařízení, které představují pouze dílčí a doplňující část plnění na stavbě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(tj. kategorie podzhotovitelů podle Pod-článku 4.4.2 Zvláštních podmínek)? </w:t>
      </w: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6E16DA" w:rsidRDefault="0003665D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03665D">
        <w:rPr>
          <w:rFonts w:ascii="Times New Roman" w:hAnsi="Times New Roman" w:cs="Times New Roman"/>
          <w:b/>
          <w:lang w:eastAsia="cs-CZ"/>
        </w:rPr>
        <w:t>Odpověď:</w:t>
      </w:r>
    </w:p>
    <w:p w:rsidR="0003665D" w:rsidRPr="0003665D" w:rsidRDefault="0003665D" w:rsidP="0003665D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cs-CZ"/>
        </w:rPr>
      </w:pPr>
      <w:r w:rsidRPr="0003665D">
        <w:rPr>
          <w:rFonts w:ascii="Times New Roman" w:hAnsi="Times New Roman" w:cs="Times New Roman"/>
          <w:i/>
          <w:iCs/>
          <w:lang w:eastAsia="cs-CZ"/>
        </w:rPr>
        <w:t>V pod-článku 18.3, pátý odstavec, jsou uvedeny podmínky pojištění Podzhotovitelů.</w:t>
      </w:r>
    </w:p>
    <w:p w:rsidR="0003665D" w:rsidRPr="0003665D" w:rsidRDefault="0003665D" w:rsidP="0003665D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cs-CZ"/>
        </w:rPr>
      </w:pPr>
      <w:r w:rsidRPr="0003665D">
        <w:rPr>
          <w:rFonts w:ascii="Times New Roman" w:hAnsi="Times New Roman" w:cs="Times New Roman"/>
          <w:i/>
          <w:iCs/>
          <w:lang w:eastAsia="cs-CZ"/>
        </w:rPr>
        <w:t xml:space="preserve">Pod-článek 4.4, odst. 4.4.2, zmiňuje dvě kategorie Podzhotovitelů. </w:t>
      </w:r>
    </w:p>
    <w:p w:rsidR="0003665D" w:rsidRPr="0003665D" w:rsidRDefault="0003665D" w:rsidP="0003665D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cs-CZ"/>
        </w:rPr>
      </w:pPr>
      <w:r w:rsidRPr="0003665D">
        <w:rPr>
          <w:rFonts w:ascii="Times New Roman" w:hAnsi="Times New Roman" w:cs="Times New Roman"/>
          <w:i/>
          <w:iCs/>
          <w:lang w:eastAsia="cs-CZ"/>
        </w:rPr>
        <w:t xml:space="preserve">K využití jedněch, tedy podzhotovitelů, kteří budou k provedení části Sekce provádět speciální činnosti nebo dodávat zařízení, které představuje pouze dílčí a doplňující část plnění dotčené části Sekce, je třeba předchozí souhlas Správce stavby a zároveň musí splňovat „Podmínky“. To znamená, že se na tuto první kategorii podzhotovitelů vztahuje i ustanovení o pojištění. </w:t>
      </w:r>
    </w:p>
    <w:p w:rsidR="0003665D" w:rsidRPr="0003665D" w:rsidRDefault="0003665D" w:rsidP="0003665D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cs-CZ"/>
        </w:rPr>
      </w:pPr>
      <w:r w:rsidRPr="0003665D">
        <w:rPr>
          <w:rFonts w:ascii="Times New Roman" w:hAnsi="Times New Roman" w:cs="Times New Roman"/>
          <w:i/>
          <w:iCs/>
          <w:lang w:eastAsia="cs-CZ"/>
        </w:rPr>
        <w:t xml:space="preserve">Druhou kategorií podzhotovitelů jsou osoby, které budou pouze dodávat materiál a/nebo zařízení nebo poskytovat služby, jejichž součástí není provádění vlastních stavebních prací na Díle. Tyto osoby Zhotovitel nemusí Objednateli oznamovat jako své </w:t>
      </w:r>
      <w:proofErr w:type="spellStart"/>
      <w:r w:rsidRPr="0003665D">
        <w:rPr>
          <w:rFonts w:ascii="Times New Roman" w:hAnsi="Times New Roman" w:cs="Times New Roman"/>
          <w:i/>
          <w:iCs/>
          <w:lang w:eastAsia="cs-CZ"/>
        </w:rPr>
        <w:t>podzhotovitele</w:t>
      </w:r>
      <w:proofErr w:type="spellEnd"/>
      <w:r w:rsidRPr="0003665D">
        <w:rPr>
          <w:rFonts w:ascii="Times New Roman" w:hAnsi="Times New Roman" w:cs="Times New Roman"/>
          <w:i/>
          <w:iCs/>
          <w:lang w:eastAsia="cs-CZ"/>
        </w:rPr>
        <w:t>. Zvláštní podmínky současně ani nestanoví povinnost, že by u této kategorie podzhotovitelů musely být naplněny požadavky Podmínek. U této druhé kategorie podzhotovitelů se tedy pojištění nevyžaduje.</w:t>
      </w:r>
    </w:p>
    <w:p w:rsidR="006E16DA" w:rsidRPr="00CF60AD" w:rsidRDefault="006E16D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93: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03-28-01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část A, definitivní SZZ“ se ve schématu kabelů objevují duplicitní kabely č. 1001, 2001, 5001, 1101, 2101, 5101 (stejné číslo, délka a umístění). Chápeme správně, že se jedná o chybu v dokumentaci a že se bude každý takový kabel počítat právě jednou?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Kabely nemůžou být duplicitní. Prošel jsem výkres a duplicity by tam nemněli být. </w:t>
      </w:r>
      <w:proofErr w:type="gramStart"/>
      <w:r w:rsidRPr="00CF60AD">
        <w:rPr>
          <w:rFonts w:ascii="Times New Roman" w:hAnsi="Times New Roman" w:cs="Times New Roman"/>
          <w:lang w:eastAsia="cs-CZ"/>
        </w:rPr>
        <w:t>(Pokud</w:t>
      </w:r>
      <w:proofErr w:type="gramEnd"/>
      <w:r w:rsidRPr="00CF60AD">
        <w:rPr>
          <w:rFonts w:ascii="Times New Roman" w:hAnsi="Times New Roman" w:cs="Times New Roman"/>
          <w:lang w:eastAsia="cs-CZ"/>
        </w:rPr>
        <w:t xml:space="preserve"> za duplicitu neberete stejní kabel </w:t>
      </w:r>
      <w:proofErr w:type="gramStart"/>
      <w:r w:rsidRPr="00CF60AD">
        <w:rPr>
          <w:rFonts w:ascii="Times New Roman" w:hAnsi="Times New Roman" w:cs="Times New Roman"/>
          <w:lang w:eastAsia="cs-CZ"/>
        </w:rPr>
        <w:t>který</w:t>
      </w:r>
      <w:proofErr w:type="gramEnd"/>
      <w:r w:rsidRPr="00CF60AD">
        <w:rPr>
          <w:rFonts w:ascii="Times New Roman" w:hAnsi="Times New Roman" w:cs="Times New Roman"/>
          <w:lang w:eastAsia="cs-CZ"/>
        </w:rPr>
        <w:t xml:space="preserve"> je jednou odkazován na pokračování a následně je naznačen propoj mezi objekty)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lastRenderedPageBreak/>
        <w:t>Dotaz č. 94: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03-28-01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část A, definitivní SZZ“ se ve výkazu výměr vyskytuje položka č. 127 “</w:t>
      </w:r>
      <w:r w:rsidRPr="00CF60AD">
        <w:rPr>
          <w:rFonts w:ascii="Times New Roman" w:eastAsia="Times New Roman" w:hAnsi="Times New Roman" w:cs="Times New Roman"/>
          <w:lang w:eastAsia="cs-CZ"/>
        </w:rPr>
        <w:t>CYKY 2/3 x 16 mm2, kabel silový izolace plastová“ v množství 1265 m. V tabulce ani schématu kabelů se odpovídající kabel nenachází. Žádáme zadavatele o vysvětlení.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Kabely jsou obsahem jak tabulky kabelů, tak schematického plánu kabelů. Problém bude asi ve verzi odevzdané dokumentace.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95: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03-28-01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Hustopeče u Brna, část A, definitivní SZZ“ jsme zjistili nesoulad v množství metalických kabelů u položek č. 20-22 a také u zatažení a </w:t>
      </w:r>
      <w:proofErr w:type="spellStart"/>
      <w:r w:rsidRPr="00CF60AD">
        <w:rPr>
          <w:rFonts w:ascii="Times New Roman" w:hAnsi="Times New Roman" w:cs="Times New Roman"/>
        </w:rPr>
        <w:t>spojkování</w:t>
      </w:r>
      <w:proofErr w:type="spellEnd"/>
      <w:r w:rsidRPr="00CF60AD">
        <w:rPr>
          <w:rFonts w:ascii="Times New Roman" w:hAnsi="Times New Roman" w:cs="Times New Roman"/>
        </w:rPr>
        <w:t xml:space="preserve"> těchto kabelů (položky č. 25 až 27):</w:t>
      </w:r>
    </w:p>
    <w:tbl>
      <w:tblPr>
        <w:tblW w:w="86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9"/>
        <w:gridCol w:w="1336"/>
        <w:gridCol w:w="1144"/>
      </w:tblGrid>
      <w:tr w:rsidR="00CF60AD" w:rsidRPr="00CF60AD" w:rsidTr="006951A2">
        <w:trPr>
          <w:trHeight w:val="300"/>
          <w:jc w:val="center"/>
        </w:trPr>
        <w:tc>
          <w:tcPr>
            <w:tcW w:w="6219" w:type="dxa"/>
            <w:noWrap/>
            <w:vAlign w:val="bottom"/>
            <w:hideMark/>
          </w:tcPr>
          <w:p w:rsidR="006E16DA" w:rsidRPr="00CF60AD" w:rsidRDefault="006E16DA" w:rsidP="006951A2">
            <w:pPr>
              <w:rPr>
                <w:rFonts w:cs="Times New Roman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kmpár</w:t>
            </w:r>
            <w:proofErr w:type="spellEnd"/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noWrap/>
            <w:vAlign w:val="bottom"/>
            <w:hideMark/>
          </w:tcPr>
          <w:p w:rsidR="006E16DA" w:rsidRPr="00CF60AD" w:rsidRDefault="006E16DA" w:rsidP="006951A2">
            <w:pPr>
              <w:spacing w:after="0"/>
              <w:rPr>
                <w:rFonts w:cs="Times New Roman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výkaz výměr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vypočteno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KABEL METALICKÝ DVOUPLÁŠŤOVÝ PŘES 12 PÁRŮ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3,000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3,200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KABEL METALICKÝ SE STÍNĚNÍM DO 12 PÁRŮ - DODÁVKA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14,355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17,650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KABEL METALICKÝ SE STÍNĚNÍM PŘES 12 PÁRŮ - DODÁVKA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30,680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54,980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ZATAŽENÍ A SPOJKOVÁNÍ KABELŮ PŘES 12 PÁRŮ - MONTÁŽ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3,000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3,200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ZATAŽENÍ A SPOJKOVÁNÍ KABELŮ SE STÍNĚNÍM DO 12 PÁRŮ - MONTÁŽ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14,355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17,650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6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DA" w:rsidRPr="00CF60AD" w:rsidRDefault="006E16DA" w:rsidP="006951A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30,680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6DA" w:rsidRPr="00CF60AD" w:rsidRDefault="006E16DA" w:rsidP="006951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CF60AD">
              <w:rPr>
                <w:rFonts w:eastAsia="Times New Roman" w:cs="Times New Roman"/>
                <w:sz w:val="20"/>
                <w:szCs w:val="20"/>
                <w:lang w:eastAsia="cs-CZ"/>
              </w:rPr>
              <w:t>54,980</w:t>
            </w:r>
          </w:p>
        </w:tc>
      </w:tr>
    </w:tbl>
    <w:p w:rsidR="006E16DA" w:rsidRPr="00CF60AD" w:rsidRDefault="006E16DA" w:rsidP="006E16DA">
      <w:pPr>
        <w:ind w:left="142"/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Žádáme zadavatele o opravu množství ve výkazu výměr.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Opraveno.</w:t>
      </w:r>
    </w:p>
    <w:p w:rsidR="006E16DA" w:rsidRPr="00CF60AD" w:rsidRDefault="006E16DA" w:rsidP="006E16DA">
      <w:pPr>
        <w:ind w:left="1080"/>
        <w:contextualSpacing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96: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A, definitivní SZZ a úprava ETCS“ se ve výkazu výměr vyskytují položky pro ocenění vnitřní části traťových kolejových obvodů pro směry Vranovice a Zaječí. Z technické zprávy není zřejmé, zda a v jakém množství se má umístit výstroj stávajících přilehlých traťových kolejových obvodů do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Šakvice. Žádáme zadavatele o vysvětlení.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Stavba z důvodu úpravy stavědlové ústředny veškeré zařízení demontuje. S ohledem na budování nového elektronického stavědla projektant předpokládal i nové části TZZ umístěné v SÚ ve stávajícím rozsahu mezistaničních úseků.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97: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část A, definitivní SZZ a úprava ETCS“ se má dle TZ zřídit atypický základ pro 5 ks návěstidel. Ve výkazu výměr se rozpočtují pouze 3 ks. 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98: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 se budou v rámci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A, definitivní SZZ a úprava ETCS“ realizovat všechna návěstidla nová. Dle situačního schématu se má realizovat mj. 8 ks </w:t>
      </w:r>
      <w:proofErr w:type="gramStart"/>
      <w:r w:rsidRPr="00CF60AD">
        <w:rPr>
          <w:rFonts w:ascii="Times New Roman" w:hAnsi="Times New Roman" w:cs="Times New Roman"/>
        </w:rPr>
        <w:t>stožárových 2-světlových</w:t>
      </w:r>
      <w:proofErr w:type="gramEnd"/>
      <w:r w:rsidRPr="00CF60AD">
        <w:rPr>
          <w:rFonts w:ascii="Times New Roman" w:hAnsi="Times New Roman" w:cs="Times New Roman"/>
        </w:rPr>
        <w:t xml:space="preserve"> návěstidel. Ve výkazu výměr je jich jen 7 ks. 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V odevzdané dokumentaci po připomínkovém řízení je správný počet.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99: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dodatku č. 2 se opravilo množství stykových transformátorů v rámci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část A, definitivní SZZ“ na 59 ks. Ve schématu izolace jsme nalezli 68 ks. Žádáme zadavatele o prověření, příp.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V schématu izolace se nachází 24 dvojic stykových transformátorů 11 samostatných 5 </w:t>
      </w:r>
      <w:proofErr w:type="spellStart"/>
      <w:r w:rsidRPr="00CF60AD">
        <w:rPr>
          <w:rFonts w:ascii="Times New Roman" w:hAnsi="Times New Roman" w:cs="Times New Roman"/>
          <w:lang w:eastAsia="cs-CZ"/>
        </w:rPr>
        <w:t>symetrizačních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tlumivek a 4 stykové transformátory pro traťové zabezpečovací </w:t>
      </w:r>
      <w:proofErr w:type="gramStart"/>
      <w:r w:rsidRPr="00CF60AD">
        <w:rPr>
          <w:rFonts w:ascii="Times New Roman" w:hAnsi="Times New Roman" w:cs="Times New Roman"/>
          <w:lang w:eastAsia="cs-CZ"/>
        </w:rPr>
        <w:t>zařízení které</w:t>
      </w:r>
      <w:proofErr w:type="gramEnd"/>
      <w:r w:rsidRPr="00CF60AD">
        <w:rPr>
          <w:rFonts w:ascii="Times New Roman" w:hAnsi="Times New Roman" w:cs="Times New Roman"/>
          <w:lang w:eastAsia="cs-CZ"/>
        </w:rPr>
        <w:t xml:space="preserve"> mají být stávající. Teda výsledný počet stykových transformátorů pro stavbu je 59.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100: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A, definitivní SZZ a úprava ETCS“ se vyskytují položky pro dodávku a montáž </w:t>
      </w:r>
      <w:proofErr w:type="spellStart"/>
      <w:r w:rsidRPr="00CF60AD">
        <w:rPr>
          <w:rFonts w:ascii="Times New Roman" w:hAnsi="Times New Roman" w:cs="Times New Roman"/>
        </w:rPr>
        <w:t>symetrizačních</w:t>
      </w:r>
      <w:proofErr w:type="spellEnd"/>
      <w:r w:rsidRPr="00CF60AD">
        <w:rPr>
          <w:rFonts w:ascii="Times New Roman" w:hAnsi="Times New Roman" w:cs="Times New Roman"/>
        </w:rPr>
        <w:t xml:space="preserve"> tlumivek v počtu 5 ks. Ve schématu izolace se žádné </w:t>
      </w:r>
      <w:proofErr w:type="spellStart"/>
      <w:r w:rsidRPr="00CF60AD">
        <w:rPr>
          <w:rFonts w:ascii="Times New Roman" w:hAnsi="Times New Roman" w:cs="Times New Roman"/>
        </w:rPr>
        <w:t>symetrizační</w:t>
      </w:r>
      <w:proofErr w:type="spellEnd"/>
      <w:r w:rsidRPr="00CF60AD">
        <w:rPr>
          <w:rFonts w:ascii="Times New Roman" w:hAnsi="Times New Roman" w:cs="Times New Roman"/>
        </w:rPr>
        <w:t xml:space="preserve"> tlumivky nevyskytují. Žádáme zadavatele o vysvětlení. 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V schématu izolace ve finální verzi se nachází 5 </w:t>
      </w:r>
      <w:proofErr w:type="spellStart"/>
      <w:r w:rsidRPr="00CF60AD">
        <w:rPr>
          <w:rFonts w:ascii="Times New Roman" w:hAnsi="Times New Roman" w:cs="Times New Roman"/>
          <w:lang w:eastAsia="cs-CZ"/>
        </w:rPr>
        <w:t>symetrizačních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tlumivek umístěných u označníků.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101: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část A, definitivní SZZ a úprava ETCS“ se vyskytují položky pro dodávku a montáž kolejových propojek výhybkových. Dle našeho výpočtu se má realizovat 21 ks. Ve VV je jich 19 ks. 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102: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A, definitivní SZZ a úprava ETCS“ se vyskytují položky pro dodávku a montáž </w:t>
      </w:r>
      <w:proofErr w:type="spellStart"/>
      <w:r w:rsidRPr="00CF60AD">
        <w:rPr>
          <w:rFonts w:ascii="Times New Roman" w:hAnsi="Times New Roman" w:cs="Times New Roman"/>
        </w:rPr>
        <w:t>mezikolejových</w:t>
      </w:r>
      <w:proofErr w:type="spellEnd"/>
      <w:r w:rsidRPr="00CF60AD">
        <w:rPr>
          <w:rFonts w:ascii="Times New Roman" w:hAnsi="Times New Roman" w:cs="Times New Roman"/>
        </w:rPr>
        <w:t xml:space="preserve"> lanových propojek (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DO 3 LAN DO DÉLKY 7 M) v počtu 3 ks. Dle našeho výpočtu se má realizovat 7 ks. </w:t>
      </w:r>
      <w:r w:rsidRPr="00CF60AD">
        <w:rPr>
          <w:rFonts w:ascii="Times New Roman" w:hAnsi="Times New Roman" w:cs="Times New Roman"/>
        </w:rPr>
        <w:t>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103: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A, definitivní SZZ a úprava ETCS“ se vyskytují položky pro dodávku a montáž </w:t>
      </w:r>
      <w:proofErr w:type="spellStart"/>
      <w:r w:rsidRPr="00CF60AD">
        <w:rPr>
          <w:rFonts w:ascii="Times New Roman" w:hAnsi="Times New Roman" w:cs="Times New Roman"/>
        </w:rPr>
        <w:t>mezikolejových</w:t>
      </w:r>
      <w:proofErr w:type="spellEnd"/>
      <w:r w:rsidRPr="00CF60AD">
        <w:rPr>
          <w:rFonts w:ascii="Times New Roman" w:hAnsi="Times New Roman" w:cs="Times New Roman"/>
        </w:rPr>
        <w:t xml:space="preserve"> lanových propojek dlouhých (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DO 3 LAN) v počtu 1 ks. Dle našeho výpočtu se mají realizovat 2 ks. </w:t>
      </w:r>
      <w:r w:rsidRPr="00CF60AD">
        <w:rPr>
          <w:rFonts w:ascii="Times New Roman" w:hAnsi="Times New Roman" w:cs="Times New Roman"/>
        </w:rPr>
        <w:t>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104: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 se budou v rámci PS 01-28-01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část A, definitivní SZZ a úprava ETCS“ budovat (na málo pojížděných kolejích) počítače náprav. Ve výkazu výměr je 13 ks. Dle situačního schématu by se mělo realizovat 14 ks. Žádáme zadavatele o opravu množství.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Počítače náprav pro PS 01-28-01 A jsou v počtu 13ks. Pro PS 02-28-01 A v počtu 8ks. Ve výkresu je zakreslen i počítač náprav, který je rozpočtován v PS 02-28-01.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105: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PS 01-14-07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doplnění rozhlasového zařízení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Dle našeho názoru ve výkazu výměr nejsou položky: 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lastRenderedPageBreak/>
        <w:t>•</w:t>
      </w:r>
      <w:r w:rsidRPr="00CF60AD">
        <w:rPr>
          <w:rFonts w:ascii="Times New Roman" w:hAnsi="Times New Roman" w:cs="Times New Roman"/>
        </w:rPr>
        <w:tab/>
        <w:t>ROZHLASOVÉ PŘÍSLUŠENSTVÍ - SVORKOVNICE PRO SKLOPNÝ ROZHLASOVÝ STOŽÁR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•</w:t>
      </w:r>
      <w:r w:rsidRPr="00CF60AD">
        <w:rPr>
          <w:rFonts w:ascii="Times New Roman" w:hAnsi="Times New Roman" w:cs="Times New Roman"/>
        </w:rPr>
        <w:tab/>
        <w:t>ROZHLASOVÉ PŘÍSLUŠENSTVÍ - MONTÁŽ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Žádáme zadavatele o prověření a případnou opravu výkazu výměr.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Položky doplněny do výkazu výměr (položky č. 62 a 63). V závislosti na tom došlo ke změně počtu ks u položky č. 48, kde došlo ke snížení počtu ks z původních 23 na 1ks.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106: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PS 01-14-08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doplnění informační zařízení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Dle našeho názoru ve výkazu výměr položka č. 42 SW MODUL PRO DÁLKOVÉ OVLÁDÁNÍ RÚ PRO SAMOSTATNOU ŽST. (ZAST.) v počtu 2 ks není zapotřebí. Žádáme zadavatele o prověření a případnou opravu výkazu výměr.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Položka č. 42 byla z rozpočtu vyškrtnuta, doplnění potřebného SW a HW pro dálkové ovládání je v rámci samostatného PS úprava dispečerského pracoviště.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107: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PS 03-14-05 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informační zařízení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Dle našeho názoru ve výkazu výměr položka č. 33 SW MODUL PRO DÁLKOVÉ OVLÁDÁNÍ RÚ PRO SAMOSTATNOU ŽST. (ZAST.) v počtu 1 ks není zapotřebí. Žádáme zadavatele o prověření a případnou opravu výkazu výměr. </w:t>
      </w:r>
    </w:p>
    <w:p w:rsidR="006E16DA" w:rsidRPr="00CF60AD" w:rsidRDefault="006E16DA" w:rsidP="006E16DA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Položka č. 42 byla z rozpočtu vyškrtnuta, doplnění potřebného SW a HW pro dálkové ovládání je v rámci samostatného PS úprava dispečerského pracoviště.</w:t>
      </w:r>
    </w:p>
    <w:p w:rsidR="005407C9" w:rsidRPr="00CF60AD" w:rsidRDefault="005407C9" w:rsidP="006E16DA">
      <w:pPr>
        <w:contextualSpacing/>
        <w:jc w:val="both"/>
        <w:rPr>
          <w:rFonts w:ascii="Times New Roman" w:hAnsi="Times New Roman" w:cs="Times New Roman"/>
        </w:rPr>
      </w:pPr>
    </w:p>
    <w:p w:rsidR="006E16DA" w:rsidRPr="00CF60AD" w:rsidRDefault="006E16DA" w:rsidP="006E16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108:</w:t>
      </w:r>
    </w:p>
    <w:p w:rsidR="006E16DA" w:rsidRPr="00CF60AD" w:rsidRDefault="006E16DA" w:rsidP="006E16DA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Zadávací dokumentace Pokyny pro dodavatele v části „7 Vysvětlení, změny a doplnění zadávací dokumentace“ v části 7.1 mimo jiné uvádí, že „…zadavatel odpoví včetně přesného znění žádosti bez identifikace tazatele nejpozději do 3 pracovních dnů od doručení příslušné žádosti.“ Dále v rámci dodatků zadavatel v případě skutečnosti provedení změn/doplnění zadávací dokumentace postupuje v souladu s ust. §99 odst. 2 ZZVZ a prodlužuje lhůtu pro podání nabídek. V drtivé většině případů tuto lhůtu zadavatel prodlužuje o 1 pracovní den a to i v případech, kdy množství změn/doplnění zadávací dokumentace je značně rozsáhlé a zadavatel při tom využije k odpovědi svou plnou lhůtu 3 pracovních dnů. Chápeme snahu zadavatele o přiměřeně co nejkratší průběh výběrového řízení, nicméně, prodloužení lhůty pro podání nabídek o 1 pracovní den v případě, že se k němu </w:t>
      </w:r>
      <w:proofErr w:type="gramStart"/>
      <w:r w:rsidRPr="00CF60AD">
        <w:rPr>
          <w:rFonts w:ascii="Times New Roman" w:hAnsi="Times New Roman" w:cs="Times New Roman"/>
        </w:rPr>
        <w:t>vyjadřuje</w:t>
      </w:r>
      <w:proofErr w:type="gramEnd"/>
      <w:r w:rsidRPr="00CF60AD">
        <w:rPr>
          <w:rFonts w:ascii="Times New Roman" w:hAnsi="Times New Roman" w:cs="Times New Roman"/>
        </w:rPr>
        <w:t xml:space="preserve"> ve lhůtě 3 pracovních dnů </w:t>
      </w:r>
      <w:proofErr w:type="gramStart"/>
      <w:r w:rsidRPr="00CF60AD">
        <w:rPr>
          <w:rFonts w:ascii="Times New Roman" w:hAnsi="Times New Roman" w:cs="Times New Roman"/>
        </w:rPr>
        <w:t>má</w:t>
      </w:r>
      <w:proofErr w:type="gramEnd"/>
      <w:r w:rsidRPr="00CF60AD">
        <w:rPr>
          <w:rFonts w:ascii="Times New Roman" w:hAnsi="Times New Roman" w:cs="Times New Roman"/>
        </w:rPr>
        <w:t xml:space="preserve"> za následek, že o to více se zkracuje čas pro řádné zpracování nabídky uchazečům, kteří jsou nuceni tyto, v mnoha případech i značné změny zadávací dokumentace, reflektovat. Žádáme zadavatele, aby bral zřetel i na tuto skutečnost při prodlužování lhůt pro podání nabídek v rámci vysvětlení/změn/doplnění zadávací dokumentace.</w:t>
      </w:r>
    </w:p>
    <w:p w:rsidR="006E16DA" w:rsidRDefault="006E16DA" w:rsidP="006E16DA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7D74CB">
        <w:rPr>
          <w:rFonts w:ascii="Times New Roman" w:hAnsi="Times New Roman" w:cs="Times New Roman"/>
          <w:b/>
          <w:lang w:eastAsia="cs-CZ"/>
        </w:rPr>
        <w:t>Odpověď:</w:t>
      </w: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D74CB">
        <w:rPr>
          <w:rFonts w:ascii="Times New Roman" w:hAnsi="Times New Roman" w:cs="Times New Roman"/>
          <w:lang w:eastAsia="cs-CZ"/>
        </w:rPr>
        <w:t xml:space="preserve">K dotazu zadavatel uvádí, že podle § 98 odst. 4 zákona č. 134/2016 Sb., o zadávání veřejných zakázek (dále též „ZZVZ“), je zadavatel povinen poskytnout vysvětlení zadávací dokumentace do 3 pracovních dnů ode dne doručení žádosti o vysvětlení. Současně je v uvedeném ustanovení normováno, že pokud vysvětlení zadávací dokumentace zadavatel neposkytne včas (tedy v uvedené lhůtě 3 pracovních dnů od doručení žádosti), je povinen prodloužit lhůtu pro podání nabídek nejméně o tolik pracovních dnů, o kolik přesáhla doba od doručení žádosti o vysvětlení do jejího poskytnutí tři pracovní dny. </w:t>
      </w: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D74CB">
        <w:rPr>
          <w:rFonts w:ascii="Times New Roman" w:hAnsi="Times New Roman" w:cs="Times New Roman"/>
          <w:lang w:eastAsia="cs-CZ"/>
        </w:rPr>
        <w:t xml:space="preserve">Z uvedeného je zřejmé, že doba 3 pracovních dnů pro poskytnutí vysvětlení zadávací dokumentace je pro proces administrace zadávacího řízení stanovena přímo ZZVZ. Ten přitom nestanoví zadavateli </w:t>
      </w:r>
      <w:r w:rsidRPr="007D74CB">
        <w:rPr>
          <w:rFonts w:ascii="Times New Roman" w:hAnsi="Times New Roman" w:cs="Times New Roman"/>
          <w:lang w:eastAsia="cs-CZ"/>
        </w:rPr>
        <w:lastRenderedPageBreak/>
        <w:t>povinnost prodloužit lhůtu pro podání nabídek pouze z toho důvodu, že zadavatel při poskytování vysvětlení zadávací dokumentace tuto třídenní lhůtu využije v celé její délce. Pouze v případě, že by zadavatel neposkytl požadované vysvětlení v zákonem stanovené lhůtě tří pracovních dnů, má povinnost prodloužit lhůtu pro podání nabídek o tolik dnů, o kolik přesáhla doba, v níž vysvětlení poskytl, zákonem stanovenou lhůtu tří pracovních dnů.</w:t>
      </w: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D74CB">
        <w:rPr>
          <w:rFonts w:ascii="Times New Roman" w:hAnsi="Times New Roman" w:cs="Times New Roman"/>
          <w:lang w:eastAsia="cs-CZ"/>
        </w:rPr>
        <w:t>Pokud tedy tazatel tvrdí, že „</w:t>
      </w:r>
      <w:r w:rsidRPr="007D74CB">
        <w:rPr>
          <w:rFonts w:ascii="Times New Roman" w:hAnsi="Times New Roman" w:cs="Times New Roman"/>
          <w:i/>
          <w:iCs/>
          <w:lang w:eastAsia="cs-CZ"/>
        </w:rPr>
        <w:t>prodloužení lhůty pro podání nabídek o 1 pracovní den v případě, že se k němu vyjadřuje (pozn. zadavatel) ve lhůtě 3 pracovních dnů má za následek, že o to více se zkracuje čas pro řádné zpracování nabídky uchazečům</w:t>
      </w:r>
      <w:r w:rsidRPr="007D74CB">
        <w:rPr>
          <w:rFonts w:ascii="Times New Roman" w:hAnsi="Times New Roman" w:cs="Times New Roman"/>
          <w:lang w:eastAsia="cs-CZ"/>
        </w:rPr>
        <w:t>“, pak k tomu zadavatel uvádí, že takto je průběh zadávacího řízení a vysvětlování zadávací dokumentace nastaven ZZVZ a zadavatel nemá povinnost jen z tohoto důvodu prodlužovat lhůtu pro podání nabídek.</w:t>
      </w: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7D74CB" w:rsidRPr="007D74CB" w:rsidRDefault="007D74CB" w:rsidP="007D74C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D74CB">
        <w:rPr>
          <w:rFonts w:ascii="Times New Roman" w:hAnsi="Times New Roman" w:cs="Times New Roman"/>
          <w:lang w:eastAsia="cs-CZ"/>
        </w:rPr>
        <w:t>Pokud však zadavatel současně s vysvětlením zadávací dokumentace mění zadávací podmínky, postupuje podle § 99 ZZVZ. V takovém případě zadavatel pečlivě a vždy případ od případu posuzuje, zda povaha změny zadávacích podmínek vyžaduje prodloužení lhůty pro podání nabídek či nikoli. Pokud zadavatel dojde k závěru, že to povaha změny zadávacích podmínek vyžaduje, lhůtu pro podání nabídek přiměřeně prodlouží. Ani v tomto případě však zadavatel není povinen prodloužit lhůtu pro podání nabídek vždy o tři pracovní dny, které mu ZZVZ dává na poskytnutí vysvětlení zadávací dokumentace. Lhůtu pro podání nabídek zadavatel v takových případech, kdy to povaha změny zadávacích podmínek vyžaduje, prodlužuje pouze přiměřeně povaze změny. V případech pouhých formálních změn, jako jsou např. změny jednotek množství (m</w:t>
      </w:r>
      <w:r w:rsidRPr="007D74CB">
        <w:rPr>
          <w:rFonts w:ascii="Times New Roman" w:hAnsi="Times New Roman" w:cs="Times New Roman"/>
          <w:vertAlign w:val="superscript"/>
          <w:lang w:eastAsia="cs-CZ"/>
        </w:rPr>
        <w:t>3</w:t>
      </w:r>
      <w:r w:rsidRPr="007D74CB">
        <w:rPr>
          <w:rFonts w:ascii="Times New Roman" w:hAnsi="Times New Roman" w:cs="Times New Roman"/>
          <w:lang w:eastAsia="cs-CZ"/>
        </w:rPr>
        <w:t xml:space="preserve"> za m</w:t>
      </w:r>
      <w:r w:rsidRPr="007D74CB">
        <w:rPr>
          <w:rFonts w:ascii="Times New Roman" w:hAnsi="Times New Roman" w:cs="Times New Roman"/>
          <w:vertAlign w:val="superscript"/>
          <w:lang w:eastAsia="cs-CZ"/>
        </w:rPr>
        <w:t>2</w:t>
      </w:r>
      <w:r w:rsidRPr="007D74CB">
        <w:rPr>
          <w:rFonts w:ascii="Times New Roman" w:hAnsi="Times New Roman" w:cs="Times New Roman"/>
          <w:lang w:eastAsia="cs-CZ"/>
        </w:rPr>
        <w:t xml:space="preserve">), pak není zadavatel povinen prodloužit lhůtu pro podání nabídek vůbec, neboť se nejedná o změny takové povahy, jež by takové prodloužení vyžadovaly. </w:t>
      </w:r>
    </w:p>
    <w:p w:rsidR="005407C9" w:rsidRPr="00CF60AD" w:rsidRDefault="005407C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109: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</w:rPr>
      </w:pPr>
      <w:r w:rsidRPr="00CF60AD">
        <w:rPr>
          <w:rFonts w:ascii="Times New Roman" w:hAnsi="Times New Roman" w:cs="Times New Roman"/>
          <w:b/>
        </w:rPr>
        <w:t>SO 98-98 Všeobecný objekt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Při kontrole soupisu prací pro výše uvedený objekt poskytnutý v rámci vysvětlení, změna doplnění ZD </w:t>
      </w:r>
      <w:proofErr w:type="gramStart"/>
      <w:r w:rsidRPr="00CF60AD">
        <w:rPr>
          <w:rFonts w:ascii="Times New Roman" w:hAnsi="Times New Roman" w:cs="Times New Roman"/>
        </w:rPr>
        <w:t>č.2 jsme</w:t>
      </w:r>
      <w:proofErr w:type="gramEnd"/>
      <w:r w:rsidRPr="00CF60AD">
        <w:rPr>
          <w:rFonts w:ascii="Times New Roman" w:hAnsi="Times New Roman" w:cs="Times New Roman"/>
        </w:rPr>
        <w:t xml:space="preserve"> u položky č. 1  Geodetická dokumentace skutečného provedení stavby objevili, že je v políčku jednotková cena předepsána cena 200Kč /KPL. Může zadavatel </w:t>
      </w:r>
      <w:proofErr w:type="gramStart"/>
      <w:r w:rsidRPr="00CF60AD">
        <w:rPr>
          <w:rFonts w:ascii="Times New Roman" w:hAnsi="Times New Roman" w:cs="Times New Roman"/>
        </w:rPr>
        <w:t>vysvětlit proč</w:t>
      </w:r>
      <w:proofErr w:type="gramEnd"/>
      <w:r w:rsidRPr="00CF60AD">
        <w:rPr>
          <w:rFonts w:ascii="Times New Roman" w:hAnsi="Times New Roman" w:cs="Times New Roman"/>
        </w:rPr>
        <w:t xml:space="preserve"> stanovil takovou jednotkovou cenu? Nebo může uchazeč ocenit tuto položku </w:t>
      </w:r>
      <w:proofErr w:type="gramStart"/>
      <w:r w:rsidRPr="00CF60AD">
        <w:rPr>
          <w:rFonts w:ascii="Times New Roman" w:hAnsi="Times New Roman" w:cs="Times New Roman"/>
        </w:rPr>
        <w:t>podle</w:t>
      </w:r>
      <w:proofErr w:type="gramEnd"/>
      <w:r w:rsidRPr="00CF60AD">
        <w:rPr>
          <w:rFonts w:ascii="Times New Roman" w:hAnsi="Times New Roman" w:cs="Times New Roman"/>
        </w:rPr>
        <w:t xml:space="preserve"> svých odborných </w:t>
      </w:r>
      <w:proofErr w:type="gramStart"/>
      <w:r w:rsidRPr="00CF60AD">
        <w:rPr>
          <w:rFonts w:ascii="Times New Roman" w:hAnsi="Times New Roman" w:cs="Times New Roman"/>
        </w:rPr>
        <w:t>odhadu a nabídek</w:t>
      </w:r>
      <w:proofErr w:type="gramEnd"/>
      <w:r w:rsidRPr="00CF60AD">
        <w:rPr>
          <w:rFonts w:ascii="Times New Roman" w:hAnsi="Times New Roman" w:cs="Times New Roman"/>
        </w:rPr>
        <w:t xml:space="preserve">? 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 – cena vymazána. Soupis prací dodán již s odpovědí na dotaz č. 86.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110: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</w:rPr>
      </w:pPr>
      <w:r w:rsidRPr="00CF60AD">
        <w:rPr>
          <w:rFonts w:ascii="Times New Roman" w:hAnsi="Times New Roman" w:cs="Times New Roman"/>
          <w:b/>
        </w:rPr>
        <w:t>SO 98-98 Všeobecný objekt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Dále v soupisu prací je uvedena </w:t>
      </w:r>
      <w:proofErr w:type="gramStart"/>
      <w:r w:rsidRPr="00CF60AD">
        <w:rPr>
          <w:rFonts w:ascii="Times New Roman" w:hAnsi="Times New Roman" w:cs="Times New Roman"/>
        </w:rPr>
        <w:t>pol.č.</w:t>
      </w:r>
      <w:proofErr w:type="gramEnd"/>
      <w:r w:rsidRPr="00CF60AD">
        <w:rPr>
          <w:rFonts w:ascii="Times New Roman" w:hAnsi="Times New Roman" w:cs="Times New Roman"/>
        </w:rPr>
        <w:t>8 Hlukové měření pro účely realizace stavby bez uvedeného množství a měrné jednotky. Požaduje zadavatel ocenění této položky, anebo ji nemá uchazeč oceňovat a její množství je 0?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Zadavatel požaduje </w:t>
      </w:r>
      <w:proofErr w:type="spellStart"/>
      <w:r w:rsidRPr="00CF60AD">
        <w:rPr>
          <w:rFonts w:ascii="Times New Roman" w:hAnsi="Times New Roman" w:cs="Times New Roman"/>
          <w:lang w:eastAsia="cs-CZ"/>
        </w:rPr>
        <w:t>nacenění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této položky na základě požadavků vyjádření KHS </w:t>
      </w:r>
      <w:proofErr w:type="spellStart"/>
      <w:r w:rsidRPr="00CF60AD">
        <w:rPr>
          <w:rFonts w:ascii="Times New Roman" w:hAnsi="Times New Roman" w:cs="Times New Roman"/>
          <w:lang w:eastAsia="cs-CZ"/>
        </w:rPr>
        <w:t>JmK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, dokladová část </w:t>
      </w:r>
      <w:proofErr w:type="gramStart"/>
      <w:r w:rsidRPr="00CF60AD">
        <w:rPr>
          <w:rFonts w:ascii="Times New Roman" w:hAnsi="Times New Roman" w:cs="Times New Roman"/>
          <w:lang w:eastAsia="cs-CZ"/>
        </w:rPr>
        <w:t>H.3 07.01</w:t>
      </w:r>
      <w:proofErr w:type="gramEnd"/>
      <w:r w:rsidRPr="00CF60AD">
        <w:rPr>
          <w:rFonts w:ascii="Times New Roman" w:hAnsi="Times New Roman" w:cs="Times New Roman"/>
          <w:lang w:eastAsia="cs-CZ"/>
        </w:rPr>
        <w:t>.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111: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rámci dodatku č. 2 došlo v provozním souboru PS 01-28-01 B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Šakvice, část B, provizorní SZZ“ ke změně položek metalických kabelů z pronájmu na dodávku. V rámci této změny se ovšem razantně zredukovalo jejich množství. V rámci dodatku č. 2 byla zadavatelem doplněna chybějící schémata venkovní kabelizace pro provizorní stavy. Dotčené kabely jsou ve schématech označeny světle zelenou barvou. Tato schémata vykazují několik nejasností:</w:t>
      </w:r>
    </w:p>
    <w:p w:rsidR="005407C9" w:rsidRPr="00CF60AD" w:rsidRDefault="005407C9" w:rsidP="005407C9">
      <w:pPr>
        <w:numPr>
          <w:ilvl w:val="0"/>
          <w:numId w:val="15"/>
        </w:numPr>
        <w:ind w:left="709"/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mnoho kabelů je napříč všemi schématy stavebních postupů (i několikanásobně) duplicitních </w:t>
      </w:r>
    </w:p>
    <w:p w:rsidR="005407C9" w:rsidRPr="00CF60AD" w:rsidRDefault="005407C9" w:rsidP="005407C9">
      <w:pPr>
        <w:numPr>
          <w:ilvl w:val="0"/>
          <w:numId w:val="15"/>
        </w:numPr>
        <w:ind w:left="709"/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lastRenderedPageBreak/>
        <w:t>některé kabely mají stejná čísla, ovšem různé délky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Z těchto podkladů není zřejmé, které kabely se mají uvažovat. Podle našich výpočtů jsou množství zeleně vyznačených kabelů oproti výkazu výměr několikanásobně vyšší, viz tabulka níže:</w:t>
      </w:r>
    </w:p>
    <w:tbl>
      <w:tblPr>
        <w:tblW w:w="5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060"/>
        <w:gridCol w:w="1240"/>
      </w:tblGrid>
      <w:tr w:rsidR="00CF60AD" w:rsidRPr="00CF60AD" w:rsidTr="006951A2">
        <w:trPr>
          <w:trHeight w:val="300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výpočet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výkaz výměr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KABELY BEZ STÍNĚNÍ DO 12P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149,625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19,695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KABELY BEZ STÍNĚNÍ PŘES 12P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91,89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3,564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 xml:space="preserve">KABELY SE </w:t>
            </w:r>
            <w:proofErr w:type="gramStart"/>
            <w:r w:rsidRPr="00CF60AD">
              <w:rPr>
                <w:rFonts w:eastAsia="Times New Roman" w:cs="Times New Roman"/>
                <w:lang w:eastAsia="cs-CZ"/>
              </w:rPr>
              <w:t>STÍNĚNÍM  DO</w:t>
            </w:r>
            <w:proofErr w:type="gramEnd"/>
            <w:r w:rsidRPr="00CF60AD">
              <w:rPr>
                <w:rFonts w:eastAsia="Times New Roman" w:cs="Times New Roman"/>
                <w:lang w:eastAsia="cs-CZ"/>
              </w:rPr>
              <w:t xml:space="preserve"> 12P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353,588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27,43</w:t>
            </w:r>
          </w:p>
        </w:tc>
      </w:tr>
      <w:tr w:rsidR="00CF60AD" w:rsidRPr="00CF60AD" w:rsidTr="006951A2">
        <w:trPr>
          <w:trHeight w:val="300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 xml:space="preserve">KABELY SE </w:t>
            </w:r>
            <w:proofErr w:type="gramStart"/>
            <w:r w:rsidRPr="00CF60AD">
              <w:rPr>
                <w:rFonts w:eastAsia="Times New Roman" w:cs="Times New Roman"/>
                <w:lang w:eastAsia="cs-CZ"/>
              </w:rPr>
              <w:t>STÍNĚNÍM  PŘES</w:t>
            </w:r>
            <w:proofErr w:type="gramEnd"/>
            <w:r w:rsidRPr="00CF60AD">
              <w:rPr>
                <w:rFonts w:eastAsia="Times New Roman" w:cs="Times New Roman"/>
                <w:lang w:eastAsia="cs-CZ"/>
              </w:rPr>
              <w:t xml:space="preserve"> 12P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2704,8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7C9" w:rsidRPr="00CF60AD" w:rsidRDefault="005407C9" w:rsidP="006951A2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F60AD">
              <w:rPr>
                <w:rFonts w:eastAsia="Times New Roman" w:cs="Times New Roman"/>
                <w:lang w:eastAsia="cs-CZ"/>
              </w:rPr>
              <w:t>289,54</w:t>
            </w:r>
          </w:p>
        </w:tc>
      </w:tr>
    </w:tbl>
    <w:p w:rsidR="005407C9" w:rsidRPr="00CF60AD" w:rsidRDefault="005407C9" w:rsidP="005407C9">
      <w:pPr>
        <w:ind w:left="1080"/>
        <w:contextualSpacing/>
        <w:rPr>
          <w:rFonts w:cs="Times New Roman"/>
        </w:rPr>
      </w:pP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Žádáme zadavatele o zaslání tabulky kabelů, dále o prověření a sjednocení nesouladu v množství metalických kabelů. Upozorňujeme zadavatele, že je nutné zohlednit také množství u položek, týkajících se zatažení a </w:t>
      </w:r>
      <w:proofErr w:type="spellStart"/>
      <w:r w:rsidRPr="00CF60AD">
        <w:rPr>
          <w:rFonts w:ascii="Times New Roman" w:hAnsi="Times New Roman" w:cs="Times New Roman"/>
        </w:rPr>
        <w:t>spojkování</w:t>
      </w:r>
      <w:proofErr w:type="spellEnd"/>
      <w:r w:rsidRPr="00CF60AD">
        <w:rPr>
          <w:rFonts w:ascii="Times New Roman" w:hAnsi="Times New Roman" w:cs="Times New Roman"/>
        </w:rPr>
        <w:t xml:space="preserve"> kabelů, zhotovení kabelových forem apod.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Byla provedena detailní kontrola. Navýšení nastalo ale ne v také velké míře. Připájím tabulku kabelů pro provizorní stav. Kabely v každém SP se nemění. Rezerva je již započítána v délce kabelu.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112: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 rámci provozního souboru PS 01-28-01 D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 xml:space="preserve">. Šakvice, část D, úprava AVV“ se budou provádět úpravy MIB (dodávky, montáže, demontáže). Dle technické zprávy jsou nové </w:t>
      </w:r>
      <w:proofErr w:type="spellStart"/>
      <w:r w:rsidRPr="00CF60AD">
        <w:rPr>
          <w:rFonts w:ascii="Times New Roman" w:hAnsi="Times New Roman" w:cs="Times New Roman"/>
        </w:rPr>
        <w:t>MIBy</w:t>
      </w:r>
      <w:proofErr w:type="spellEnd"/>
      <w:r w:rsidRPr="00CF60AD">
        <w:rPr>
          <w:rFonts w:ascii="Times New Roman" w:hAnsi="Times New Roman" w:cs="Times New Roman"/>
        </w:rPr>
        <w:t xml:space="preserve"> vyznačeny v situačním schématu (</w:t>
      </w:r>
      <w:proofErr w:type="spellStart"/>
      <w:proofErr w:type="gramStart"/>
      <w:r w:rsidRPr="00CF60AD">
        <w:rPr>
          <w:rFonts w:ascii="Times New Roman" w:hAnsi="Times New Roman" w:cs="Times New Roman"/>
        </w:rPr>
        <w:t>v.č</w:t>
      </w:r>
      <w:proofErr w:type="spellEnd"/>
      <w:r w:rsidRPr="00CF60AD">
        <w:rPr>
          <w:rFonts w:ascii="Times New Roman" w:hAnsi="Times New Roman" w:cs="Times New Roman"/>
        </w:rPr>
        <w:t>.</w:t>
      </w:r>
      <w:proofErr w:type="gramEnd"/>
      <w:r w:rsidRPr="00CF60AD">
        <w:rPr>
          <w:rFonts w:ascii="Times New Roman" w:hAnsi="Times New Roman" w:cs="Times New Roman"/>
        </w:rPr>
        <w:t xml:space="preserve"> 202). Takový výkres v zadávací dokumentaci tohoto PS neexistuje. Součástí je pouze výkres č. 201, ve kterém je červenou barvou zaznačeno 15 ks </w:t>
      </w:r>
      <w:proofErr w:type="spellStart"/>
      <w:r w:rsidRPr="00CF60AD">
        <w:rPr>
          <w:rFonts w:ascii="Times New Roman" w:hAnsi="Times New Roman" w:cs="Times New Roman"/>
        </w:rPr>
        <w:t>MIBů</w:t>
      </w:r>
      <w:proofErr w:type="spellEnd"/>
      <w:r w:rsidRPr="00CF60AD">
        <w:rPr>
          <w:rFonts w:ascii="Times New Roman" w:hAnsi="Times New Roman" w:cs="Times New Roman"/>
        </w:rPr>
        <w:t xml:space="preserve"> bez další specifikace. Žádáme zadavatele o zaslání chybějící dokumentace a o stanovení množství </w:t>
      </w:r>
      <w:proofErr w:type="spellStart"/>
      <w:r w:rsidRPr="00CF60AD">
        <w:rPr>
          <w:rFonts w:ascii="Times New Roman" w:hAnsi="Times New Roman" w:cs="Times New Roman"/>
        </w:rPr>
        <w:t>MIBů</w:t>
      </w:r>
      <w:proofErr w:type="spellEnd"/>
      <w:r w:rsidRPr="00CF60AD">
        <w:rPr>
          <w:rFonts w:ascii="Times New Roman" w:hAnsi="Times New Roman" w:cs="Times New Roman"/>
        </w:rPr>
        <w:t xml:space="preserve"> pro položky (DOD/MON/DEM) včetně upevňovacích souprav ve výkazu výměr.</w:t>
      </w:r>
    </w:p>
    <w:p w:rsidR="000542AC" w:rsidRDefault="000542AC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Ve výkresu 201 jsou vyznačeny </w:t>
      </w:r>
      <w:proofErr w:type="spellStart"/>
      <w:r w:rsidRPr="00CF60AD">
        <w:rPr>
          <w:rFonts w:ascii="Times New Roman" w:hAnsi="Times New Roman" w:cs="Times New Roman"/>
          <w:lang w:eastAsia="cs-CZ"/>
        </w:rPr>
        <w:t>MIBy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jak stávající tak nové z důvodu umístění na nové kolejiště. Nelze specifikovat, kde bude umístěn nový nebo stávající MIB je to ponecháno na zhotoviteli. 5ks MIB nových je dodáno včetně upevňovacích souprav. 10ks stávajících </w:t>
      </w:r>
      <w:proofErr w:type="spellStart"/>
      <w:r w:rsidRPr="00CF60AD">
        <w:rPr>
          <w:rFonts w:ascii="Times New Roman" w:hAnsi="Times New Roman" w:cs="Times New Roman"/>
          <w:lang w:eastAsia="cs-CZ"/>
        </w:rPr>
        <w:t>MIBů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z důvodu demontáže a odlišného svršku dostane nové upevňovací soupravy.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113: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rámci provozního souboru PS 03-28-01 A „</w:t>
      </w:r>
      <w:proofErr w:type="spellStart"/>
      <w:r w:rsidRPr="00CF60AD">
        <w:rPr>
          <w:rFonts w:ascii="Times New Roman" w:hAnsi="Times New Roman" w:cs="Times New Roman"/>
        </w:rPr>
        <w:t>Žst</w:t>
      </w:r>
      <w:proofErr w:type="spellEnd"/>
      <w:r w:rsidRPr="00CF60AD">
        <w:rPr>
          <w:rFonts w:ascii="Times New Roman" w:hAnsi="Times New Roman" w:cs="Times New Roman"/>
        </w:rPr>
        <w:t>. Hustopeče u Brna, část A, definitivní SZZ“ se vyskytují ve výkazu výměr dvě položky dodávající napájecí zdroje. Chápeme správně, že dodávka těchto dvou zdrojů je i z důvodu pokrytí ostatních odběrů jiných zařízení než zabezpečovací zařízení?</w:t>
      </w:r>
    </w:p>
    <w:p w:rsidR="000542AC" w:rsidRDefault="000542AC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Ano, jedná se o potřeby silnoproudu.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114: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>V provozním souboru PS 50-28-01 „CDP Přerov, úprava DOZ a ETCS“ se ve výkazu výměr vyskytuje 10 ks protokolů UTZ. Žádáme zadavatele o prověření množství.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 na 1 ks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115:</w:t>
      </w:r>
    </w:p>
    <w:p w:rsidR="005407C9" w:rsidRPr="00CF60AD" w:rsidRDefault="005407C9" w:rsidP="00540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SO 02-16-01 T. </w:t>
      </w:r>
      <w:proofErr w:type="spellStart"/>
      <w:r w:rsidRPr="00CF60AD">
        <w:rPr>
          <w:rFonts w:ascii="Times New Roman" w:eastAsia="Times New Roman" w:hAnsi="Times New Roman" w:cs="Times New Roman"/>
          <w:b/>
          <w:lang w:eastAsia="cs-CZ"/>
        </w:rPr>
        <w:t>ú.</w:t>
      </w:r>
      <w:proofErr w:type="spellEnd"/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 Šakvice - Hustopeče u Brna, železniční spodek</w:t>
      </w:r>
    </w:p>
    <w:p w:rsidR="005407C9" w:rsidRPr="00CF60AD" w:rsidRDefault="005407C9" w:rsidP="005407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 xml:space="preserve">Ve výše uvedeném objektu se v dokumentaci nachází monolitická opěrná zeď v km 3,505-3,598. Tato je v rozpočtu tohoto objektu mj. zahrnuta i do položky č. 23 ZDI OPĚRNÉ, ZÁRUBNÍ, NÁBŘEŽNÍ ZE ŽELEZOVÉHO BETONU DO C30/37 (B37) v množství 343,8m3. Po přepočtu dle rozměrů OZ z příčných řezů a celkové délky nám vychází objem 153,45m3. </w:t>
      </w:r>
      <w:proofErr w:type="gramStart"/>
      <w:r w:rsidRPr="00CF60AD">
        <w:rPr>
          <w:rFonts w:ascii="Times New Roman" w:eastAsia="Times New Roman" w:hAnsi="Times New Roman" w:cs="Times New Roman"/>
          <w:lang w:eastAsia="cs-CZ"/>
        </w:rPr>
        <w:t>Prověří</w:t>
      </w:r>
      <w:proofErr w:type="gramEnd"/>
      <w:r w:rsidRPr="00CF60AD">
        <w:rPr>
          <w:rFonts w:ascii="Times New Roman" w:eastAsia="Times New Roman" w:hAnsi="Times New Roman" w:cs="Times New Roman"/>
          <w:lang w:eastAsia="cs-CZ"/>
        </w:rPr>
        <w:t xml:space="preserve"> zadavatel tento objem příp. jej </w:t>
      </w:r>
      <w:proofErr w:type="gramStart"/>
      <w:r w:rsidRPr="00CF60AD">
        <w:rPr>
          <w:rFonts w:ascii="Times New Roman" w:eastAsia="Times New Roman" w:hAnsi="Times New Roman" w:cs="Times New Roman"/>
          <w:lang w:eastAsia="cs-CZ"/>
        </w:rPr>
        <w:t>upřesní</w:t>
      </w:r>
      <w:proofErr w:type="gramEnd"/>
      <w:r w:rsidRPr="00CF60AD">
        <w:rPr>
          <w:rFonts w:ascii="Times New Roman" w:eastAsia="Times New Roman" w:hAnsi="Times New Roman" w:cs="Times New Roman"/>
          <w:lang w:eastAsia="cs-CZ"/>
        </w:rPr>
        <w:t xml:space="preserve"> doplněním výpočtu kubatur?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Výpočet doplněn na konec technické zprávy již z předchozích dotazů. Je třeba upozornit, že zdi jsou po obou stranách. V průběhu projednávání se správcem křižujících plynovodů v tomto místě bylo nutné změnit technické řešení a doplnit zde opěrnou zeď i na druhou stranu tělesa železničního spodku. </w:t>
      </w:r>
      <w:proofErr w:type="spellStart"/>
      <w:r w:rsidRPr="00CF60AD">
        <w:rPr>
          <w:rFonts w:ascii="Times New Roman" w:hAnsi="Times New Roman" w:cs="Times New Roman"/>
          <w:lang w:eastAsia="cs-CZ"/>
        </w:rPr>
        <w:t>Spoupis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prací železničního spodku tuto změnu již reflektuje. Aktuální výkres opěrných zdí byl dodán při zodpovězení na dotaz č. 58. 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lang w:eastAsia="cs-CZ"/>
        </w:rPr>
      </w:pPr>
      <w:proofErr w:type="spellStart"/>
      <w:r w:rsidRPr="00CF60AD">
        <w:rPr>
          <w:rFonts w:ascii="Times New Roman" w:hAnsi="Times New Roman" w:cs="Times New Roman"/>
          <w:lang w:eastAsia="cs-CZ"/>
        </w:rPr>
        <w:t>Vyňatek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z technické zprávy -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 xml:space="preserve">ZDI OPĚRNÉ, ZÁRUBNÍ, NÁBŘEŽNÍ ZE ŽELEZOVÉHO BETONU DO C30/37 (B37)        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lang w:eastAsia="cs-CZ"/>
        </w:rPr>
        <w:t>Celkem =1,8*(96+95) = 343,8m3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116: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  <w:b/>
        </w:rPr>
      </w:pPr>
      <w:r w:rsidRPr="00CF60AD">
        <w:rPr>
          <w:rFonts w:ascii="Times New Roman" w:hAnsi="Times New Roman" w:cs="Times New Roman"/>
          <w:b/>
        </w:rPr>
        <w:t xml:space="preserve">SO 01-19-01 Podchod </w:t>
      </w:r>
      <w:proofErr w:type="gramStart"/>
      <w:r w:rsidRPr="00CF60AD">
        <w:rPr>
          <w:rFonts w:ascii="Times New Roman" w:hAnsi="Times New Roman" w:cs="Times New Roman"/>
          <w:b/>
        </w:rPr>
        <w:t>st.km</w:t>
      </w:r>
      <w:proofErr w:type="gramEnd"/>
      <w:r w:rsidRPr="00CF60AD">
        <w:rPr>
          <w:rFonts w:ascii="Times New Roman" w:hAnsi="Times New Roman" w:cs="Times New Roman"/>
          <w:b/>
        </w:rPr>
        <w:t xml:space="preserve"> 108,253 TÚ 2001 (prov.ev.km 108,209)</w:t>
      </w:r>
    </w:p>
    <w:p w:rsidR="005407C9" w:rsidRPr="00CF60AD" w:rsidRDefault="005407C9" w:rsidP="005407C9">
      <w:pPr>
        <w:contextualSpacing/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</w:rPr>
        <w:t xml:space="preserve">V opraveném soupisu prací poskytnutého zadavatelem v rámci Vysvětlení, změn a doplnění ZD </w:t>
      </w:r>
      <w:proofErr w:type="gramStart"/>
      <w:r w:rsidRPr="00CF60AD">
        <w:rPr>
          <w:rFonts w:ascii="Times New Roman" w:hAnsi="Times New Roman" w:cs="Times New Roman"/>
        </w:rPr>
        <w:t>č.3 u položky</w:t>
      </w:r>
      <w:proofErr w:type="gramEnd"/>
      <w:r w:rsidRPr="00CF60AD">
        <w:rPr>
          <w:rFonts w:ascii="Times New Roman" w:hAnsi="Times New Roman" w:cs="Times New Roman"/>
        </w:rPr>
        <w:t xml:space="preserve"> č. 25 VÝZTUŽ MOSTNÍ RÁMOVÉ KONSTR ŽELBET Z KARI SÍTÍ    T je uvedeno opravené množství 33.198,00 T. Podle našeho názoru se jedná o chybu v řádech? Mohl zadavatel opravit tuto položku na 33,198 T? Jinak by cena za objekt byla v řádech mld. </w:t>
      </w:r>
    </w:p>
    <w:p w:rsidR="000542AC" w:rsidRDefault="000542AC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>Opraveno.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117:</w:t>
      </w:r>
    </w:p>
    <w:p w:rsidR="005407C9" w:rsidRPr="00CF60AD" w:rsidRDefault="005407C9" w:rsidP="00540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SO 01-15-01 </w:t>
      </w:r>
      <w:proofErr w:type="spellStart"/>
      <w:r w:rsidRPr="00CF60AD">
        <w:rPr>
          <w:rFonts w:ascii="Times New Roman" w:eastAsia="Times New Roman" w:hAnsi="Times New Roman" w:cs="Times New Roman"/>
          <w:b/>
          <w:lang w:eastAsia="cs-CZ"/>
        </w:rPr>
        <w:t>Žst</w:t>
      </w:r>
      <w:proofErr w:type="spellEnd"/>
      <w:r w:rsidRPr="00CF60AD">
        <w:rPr>
          <w:rFonts w:ascii="Times New Roman" w:eastAsia="Times New Roman" w:hAnsi="Times New Roman" w:cs="Times New Roman"/>
          <w:b/>
          <w:lang w:eastAsia="cs-CZ"/>
        </w:rPr>
        <w:t>. Šakvice, stavební úpravy technologické budovy - stavební část</w:t>
      </w:r>
    </w:p>
    <w:p w:rsidR="005407C9" w:rsidRPr="00CF60AD" w:rsidRDefault="005407C9" w:rsidP="005407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>Při kontrole PD jsme zjistili, že v rámci poskytnutého souboru s názvem E 2.1.101 TZ.pdf jsou k dispozici jen titulní strany technické zprávy a další informace zde chybí. Může zadavatel poskytnout tento soubor v</w:t>
      </w:r>
      <w:bookmarkStart w:id="0" w:name="_GoBack"/>
      <w:bookmarkEnd w:id="0"/>
      <w:r w:rsidRPr="00CF60AD">
        <w:rPr>
          <w:rFonts w:ascii="Times New Roman" w:eastAsia="Times New Roman" w:hAnsi="Times New Roman" w:cs="Times New Roman"/>
          <w:lang w:eastAsia="cs-CZ"/>
        </w:rPr>
        <w:t xml:space="preserve"> kompletní verzi včetně technických informací k SO? 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Kompletní soubor s technickou zprávou doplněn. </w:t>
      </w:r>
    </w:p>
    <w:p w:rsidR="005407C9" w:rsidRPr="00CF60AD" w:rsidRDefault="005407C9" w:rsidP="005407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CF60AD">
        <w:rPr>
          <w:rFonts w:ascii="Times New Roman" w:eastAsia="Times New Roman" w:hAnsi="Times New Roman" w:cs="Times New Roman"/>
          <w:b/>
          <w:lang w:eastAsia="sk-SK"/>
        </w:rPr>
        <w:t>Dotaz č. 118:</w:t>
      </w:r>
    </w:p>
    <w:p w:rsidR="005407C9" w:rsidRPr="00CF60AD" w:rsidRDefault="005407C9" w:rsidP="005407C9">
      <w:pPr>
        <w:shd w:val="clear" w:color="auto" w:fill="FFFFFF"/>
        <w:spacing w:after="0" w:line="240" w:lineRule="auto"/>
        <w:ind w:right="735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>Ve výkazech výměr SO 01-16-01, SO 02-16-01, SO 03-16-01, jsou u položek týkajících se odkopávek, hloubení rýh a hloubení šachet uvedeny třídy těžitelnosti horniny III.</w:t>
      </w:r>
    </w:p>
    <w:p w:rsidR="005407C9" w:rsidRPr="00CF60AD" w:rsidRDefault="005407C9" w:rsidP="005407C9">
      <w:pPr>
        <w:shd w:val="clear" w:color="auto" w:fill="FFFFFF"/>
        <w:spacing w:after="0" w:line="240" w:lineRule="auto"/>
        <w:ind w:right="735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>V projektové dokumentaci jsme nalezli pouze horniny třídy těžitelnosti I (třída 3. dle staršího číslování).</w:t>
      </w:r>
    </w:p>
    <w:p w:rsidR="005407C9" w:rsidRPr="00CF60AD" w:rsidRDefault="005407C9" w:rsidP="005407C9">
      <w:pPr>
        <w:shd w:val="clear" w:color="auto" w:fill="FFFFFF"/>
        <w:spacing w:after="0" w:line="240" w:lineRule="auto"/>
        <w:ind w:right="735"/>
        <w:jc w:val="both"/>
        <w:rPr>
          <w:rFonts w:ascii="Times New Roman" w:eastAsia="Times New Roman" w:hAnsi="Times New Roman" w:cs="Times New Roman"/>
          <w:lang w:eastAsia="cs-CZ"/>
        </w:rPr>
      </w:pPr>
    </w:p>
    <w:p w:rsidR="005407C9" w:rsidRPr="00CF60AD" w:rsidRDefault="005407C9" w:rsidP="005407C9">
      <w:pPr>
        <w:shd w:val="clear" w:color="auto" w:fill="FFFFFF"/>
        <w:spacing w:after="0" w:line="240" w:lineRule="auto"/>
        <w:ind w:right="735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 xml:space="preserve">Mohl by zadavatel </w:t>
      </w:r>
      <w:proofErr w:type="gramStart"/>
      <w:r w:rsidRPr="00CF60AD">
        <w:rPr>
          <w:rFonts w:ascii="Times New Roman" w:eastAsia="Times New Roman" w:hAnsi="Times New Roman" w:cs="Times New Roman"/>
          <w:lang w:eastAsia="cs-CZ"/>
        </w:rPr>
        <w:t>upřesnit o jaké</w:t>
      </w:r>
      <w:proofErr w:type="gramEnd"/>
      <w:r w:rsidRPr="00CF60AD">
        <w:rPr>
          <w:rFonts w:ascii="Times New Roman" w:eastAsia="Times New Roman" w:hAnsi="Times New Roman" w:cs="Times New Roman"/>
          <w:lang w:eastAsia="cs-CZ"/>
        </w:rPr>
        <w:t xml:space="preserve"> třídy těžitelnosti se jedná?</w:t>
      </w:r>
    </w:p>
    <w:p w:rsidR="005407C9" w:rsidRPr="00CF60AD" w:rsidRDefault="005407C9" w:rsidP="005407C9">
      <w:pPr>
        <w:jc w:val="both"/>
        <w:rPr>
          <w:rFonts w:ascii="Times New Roman" w:hAnsi="Times New Roman" w:cs="Times New Roman"/>
          <w:b/>
          <w:lang w:eastAsia="cs-CZ"/>
        </w:rPr>
      </w:pPr>
    </w:p>
    <w:p w:rsidR="005407C9" w:rsidRPr="00CF60AD" w:rsidRDefault="005407C9" w:rsidP="005407C9">
      <w:pPr>
        <w:jc w:val="both"/>
        <w:rPr>
          <w:rFonts w:ascii="Times New Roman" w:hAnsi="Times New Roman" w:cs="Times New Roman"/>
        </w:rPr>
      </w:pPr>
      <w:r w:rsidRPr="00CF60AD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  <w:r w:rsidRPr="00CF60AD">
        <w:rPr>
          <w:rFonts w:ascii="Times New Roman" w:hAnsi="Times New Roman" w:cs="Times New Roman"/>
          <w:lang w:eastAsia="cs-CZ"/>
        </w:rPr>
        <w:t xml:space="preserve">U železničních spodků, nástupišť a většiny přejezdů byla provedena v rámci odpovědi na dotaz č. 85 změna těžitelnosti </w:t>
      </w:r>
      <w:proofErr w:type="gramStart"/>
      <w:r w:rsidRPr="00CF60AD">
        <w:rPr>
          <w:rFonts w:ascii="Times New Roman" w:hAnsi="Times New Roman" w:cs="Times New Roman"/>
          <w:lang w:eastAsia="cs-CZ"/>
        </w:rPr>
        <w:t>ze</w:t>
      </w:r>
      <w:proofErr w:type="gramEnd"/>
      <w:r w:rsidRPr="00CF60AD">
        <w:rPr>
          <w:rFonts w:ascii="Times New Roman" w:hAnsi="Times New Roman" w:cs="Times New Roman"/>
          <w:lang w:eastAsia="cs-CZ"/>
        </w:rPr>
        <w:t xml:space="preserve"> III. na I. třídu. Doplňujeme ještě obdobnou změnu těžitelnosti v soupise prací pro SO 02-18-01 T. </w:t>
      </w:r>
      <w:proofErr w:type="spellStart"/>
      <w:r w:rsidRPr="00CF60AD">
        <w:rPr>
          <w:rFonts w:ascii="Times New Roman" w:hAnsi="Times New Roman" w:cs="Times New Roman"/>
          <w:lang w:eastAsia="cs-CZ"/>
        </w:rPr>
        <w:t>ú.</w:t>
      </w:r>
      <w:proofErr w:type="spellEnd"/>
      <w:r w:rsidRPr="00CF60AD">
        <w:rPr>
          <w:rFonts w:ascii="Times New Roman" w:hAnsi="Times New Roman" w:cs="Times New Roman"/>
          <w:lang w:eastAsia="cs-CZ"/>
        </w:rPr>
        <w:t xml:space="preserve"> Šakvice - Hustopeče u Brna, přeložka polní cesty. </w:t>
      </w:r>
    </w:p>
    <w:p w:rsidR="005407C9" w:rsidRPr="00CF60AD" w:rsidRDefault="005407C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95F2D" w:rsidRPr="00CF60AD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 w:rsidRPr="00CF60AD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CF60AD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CF60AD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CF60AD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CF60AD">
        <w:rPr>
          <w:rFonts w:ascii="Times New Roman" w:eastAsia="Times New Roman" w:hAnsi="Times New Roman" w:cs="Times New Roman"/>
          <w:lang w:eastAsia="cs-CZ"/>
        </w:rPr>
        <w:br/>
      </w:r>
      <w:r w:rsidR="00B90E4C" w:rsidRPr="00CF60AD">
        <w:rPr>
          <w:rFonts w:ascii="Times New Roman" w:eastAsia="Times New Roman" w:hAnsi="Times New Roman" w:cs="Times New Roman"/>
          <w:lang w:eastAsia="cs-CZ"/>
        </w:rPr>
        <w:t>7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 xml:space="preserve">. 11. 2018 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D074F3">
        <w:rPr>
          <w:rFonts w:ascii="Times New Roman" w:eastAsia="Times New Roman" w:hAnsi="Times New Roman" w:cs="Times New Roman"/>
          <w:lang w:eastAsia="cs-CZ"/>
        </w:rPr>
        <w:t>9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. 11. 2018</w:t>
      </w:r>
      <w:r w:rsidR="00D074F3">
        <w:rPr>
          <w:rFonts w:ascii="Times New Roman" w:eastAsia="Times New Roman" w:hAnsi="Times New Roman" w:cs="Times New Roman"/>
          <w:lang w:eastAsia="cs-CZ"/>
        </w:rPr>
        <w:t>, tedy o 2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prac</w:t>
      </w:r>
      <w:r w:rsidR="00D074F3">
        <w:rPr>
          <w:rFonts w:ascii="Times New Roman" w:eastAsia="Times New Roman" w:hAnsi="Times New Roman" w:cs="Times New Roman"/>
          <w:lang w:eastAsia="cs-CZ"/>
        </w:rPr>
        <w:t>ovní dny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CF60AD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CF60AD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CF60AD">
        <w:rPr>
          <w:rFonts w:ascii="Times New Roman" w:eastAsia="Times New Roman" w:hAnsi="Times New Roman" w:cs="Times New Roman"/>
          <w:lang w:eastAsia="cs-CZ"/>
        </w:rPr>
        <w:t>ZZVZ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CF60AD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CF60AD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CF60AD">
        <w:rPr>
          <w:rFonts w:ascii="Times New Roman" w:eastAsia="Times New Roman" w:hAnsi="Times New Roman" w:cs="Times New Roman"/>
          <w:lang w:eastAsia="cs-CZ"/>
        </w:rPr>
        <w:t>evidenční č.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2E541E" w:rsidRPr="00CF60AD">
        <w:rPr>
          <w:rFonts w:ascii="Times New Roman" w:eastAsia="Times New Roman" w:hAnsi="Times New Roman" w:cs="Times New Roman"/>
          <w:lang w:eastAsia="cs-CZ"/>
        </w:rPr>
        <w:t>61718167</w:t>
      </w:r>
      <w:r w:rsidRPr="00CF60AD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Pr="00CF60A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CF60A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00ED7" w:rsidRPr="00CF60A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DA69E5">
        <w:rPr>
          <w:rFonts w:ascii="Times New Roman" w:eastAsia="Times New Roman" w:hAnsi="Times New Roman" w:cs="Times New Roman"/>
          <w:lang w:eastAsia="cs-CZ"/>
        </w:rPr>
        <w:t>6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. 11. 2018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D074F3">
        <w:rPr>
          <w:rFonts w:ascii="Times New Roman" w:eastAsia="Times New Roman" w:hAnsi="Times New Roman" w:cs="Times New Roman"/>
          <w:lang w:eastAsia="cs-CZ"/>
        </w:rPr>
        <w:t>9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. 11. 2018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Pr="00CF60A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00ED7" w:rsidRPr="00CF60A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CF60A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DA69E5">
        <w:rPr>
          <w:rFonts w:ascii="Times New Roman" w:eastAsia="Times New Roman" w:hAnsi="Times New Roman" w:cs="Times New Roman"/>
          <w:lang w:eastAsia="cs-CZ"/>
        </w:rPr>
        <w:t>6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. 11. 2018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v 10:00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hod. a nahrazujeme datem </w:t>
      </w:r>
      <w:r w:rsidR="00D074F3">
        <w:rPr>
          <w:rFonts w:ascii="Times New Roman" w:eastAsia="Times New Roman" w:hAnsi="Times New Roman" w:cs="Times New Roman"/>
          <w:lang w:eastAsia="cs-CZ"/>
        </w:rPr>
        <w:t>9</w:t>
      </w:r>
      <w:r w:rsidR="00183E01" w:rsidRPr="00CF60AD">
        <w:rPr>
          <w:rFonts w:ascii="Times New Roman" w:eastAsia="Times New Roman" w:hAnsi="Times New Roman" w:cs="Times New Roman"/>
          <w:lang w:eastAsia="cs-CZ"/>
        </w:rPr>
        <w:t>. 11. 2018 v 10:00</w:t>
      </w:r>
      <w:r w:rsidRPr="00CF60AD">
        <w:rPr>
          <w:rFonts w:ascii="Times New Roman" w:eastAsia="Times New Roman" w:hAnsi="Times New Roman" w:cs="Times New Roman"/>
          <w:lang w:eastAsia="cs-CZ"/>
        </w:rPr>
        <w:t xml:space="preserve">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A69E5" w:rsidRPr="00DA69E5" w:rsidRDefault="00DA69E5" w:rsidP="00DA6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B035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DA69E5" w:rsidRPr="00CF60AD" w:rsidRDefault="00DA69E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CF60AD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CF60AD">
          <w:rPr>
            <w:rFonts w:ascii="Times New Roman" w:hAnsi="Times New Roman" w:cs="Times New Roman"/>
            <w:u w:val="single"/>
            <w:lang w:eastAsia="cs-CZ"/>
          </w:rPr>
          <w:t>https://zakazky.szdc.cz/</w:t>
        </w:r>
      </w:hyperlink>
      <w:r w:rsidRPr="00CF60AD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Pr="00CF60AD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CF60AD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EB1C3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F60A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EB1C3A" w:rsidRDefault="00EB1C3A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EB1C3A">
        <w:rPr>
          <w:rFonts w:ascii="Times New Roman" w:hAnsi="Times New Roman" w:cs="Times New Roman"/>
          <w:bCs/>
          <w:lang w:eastAsia="cs-CZ"/>
        </w:rPr>
        <w:t>14_Šakvice dotaz 90</w:t>
      </w:r>
    </w:p>
    <w:p w:rsidR="00F22574" w:rsidRPr="00D074F3" w:rsidRDefault="00F22574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D074F3">
        <w:rPr>
          <w:rFonts w:ascii="Times New Roman" w:hAnsi="Times New Roman" w:cs="Times New Roman"/>
          <w:bCs/>
          <w:lang w:eastAsia="cs-CZ"/>
        </w:rPr>
        <w:t>16_Šakvice dotaz 93 - 108</w:t>
      </w:r>
    </w:p>
    <w:p w:rsidR="00BE53B6" w:rsidRPr="00D074F3" w:rsidRDefault="00F2257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074F3">
        <w:rPr>
          <w:rFonts w:ascii="Times New Roman" w:hAnsi="Times New Roman" w:cs="Times New Roman"/>
          <w:lang w:eastAsia="cs-CZ"/>
        </w:rPr>
        <w:t>18 Šakvice dotaz 114 PS 50-28-01 oprava 01 26 10 2018</w:t>
      </w:r>
    </w:p>
    <w:p w:rsidR="00C51932" w:rsidRPr="00D074F3" w:rsidRDefault="00F2257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074F3">
        <w:rPr>
          <w:rFonts w:ascii="Times New Roman" w:hAnsi="Times New Roman" w:cs="Times New Roman"/>
          <w:lang w:eastAsia="cs-CZ"/>
        </w:rPr>
        <w:t>19_Šakvice dotaz 115 - 116</w:t>
      </w:r>
    </w:p>
    <w:p w:rsidR="00F22574" w:rsidRPr="00D074F3" w:rsidRDefault="00F2257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074F3">
        <w:rPr>
          <w:rFonts w:ascii="Times New Roman" w:hAnsi="Times New Roman" w:cs="Times New Roman"/>
          <w:lang w:eastAsia="cs-CZ"/>
        </w:rPr>
        <w:t xml:space="preserve">20 Šakvice dotaz </w:t>
      </w:r>
      <w:proofErr w:type="gramStart"/>
      <w:r w:rsidRPr="00D074F3">
        <w:rPr>
          <w:rFonts w:ascii="Times New Roman" w:hAnsi="Times New Roman" w:cs="Times New Roman"/>
          <w:lang w:eastAsia="cs-CZ"/>
        </w:rPr>
        <w:t>117 E.2.1.1</w:t>
      </w:r>
      <w:proofErr w:type="gramEnd"/>
      <w:r w:rsidRPr="00D074F3">
        <w:rPr>
          <w:rFonts w:ascii="Times New Roman" w:hAnsi="Times New Roman" w:cs="Times New Roman"/>
          <w:lang w:eastAsia="cs-CZ"/>
        </w:rPr>
        <w:t>.A.01 Technická zpráva</w:t>
      </w:r>
    </w:p>
    <w:p w:rsidR="00F22574" w:rsidRPr="00D074F3" w:rsidRDefault="00F22574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074F3">
        <w:rPr>
          <w:rFonts w:ascii="Times New Roman" w:hAnsi="Times New Roman" w:cs="Times New Roman"/>
          <w:lang w:eastAsia="cs-CZ"/>
        </w:rPr>
        <w:t>21 Šakvice dotaz 118 SO 02-18-01 oprava 01 29 10 2018</w:t>
      </w:r>
    </w:p>
    <w:p w:rsidR="00F22574" w:rsidRPr="00CF60AD" w:rsidRDefault="00F2257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CF60AD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F60AD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9417B6" w:rsidRPr="00CF60AD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CF60AD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="009417B6" w:rsidRPr="00CF60AD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CF60AD">
        <w:rPr>
          <w:rFonts w:ascii="Times New Roman" w:hAnsi="Times New Roman" w:cs="Times New Roman"/>
          <w:sz w:val="24"/>
          <w:szCs w:val="24"/>
          <w:lang w:eastAsia="cs-CZ"/>
        </w:rPr>
        <w:t>dne</w:t>
      </w:r>
      <w:r w:rsidR="00C51932" w:rsidRPr="00CF60AD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Pr="00CF60AD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CF60AD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CF60AD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CF60AD">
        <w:rPr>
          <w:rFonts w:ascii="Times New Roman" w:hAnsi="Times New Roman" w:cs="Times New Roman"/>
          <w:b/>
          <w:bCs/>
          <w:lang w:eastAsia="cs-CZ"/>
        </w:rPr>
        <w:t>Ing. Karel Švejda</w:t>
      </w:r>
    </w:p>
    <w:p w:rsidR="00742DE4" w:rsidRPr="00CF60AD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CF60AD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CF60AD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ze dne 11. 5. 2018</w:t>
      </w:r>
    </w:p>
    <w:p w:rsidR="00742DE4" w:rsidRPr="00CF60AD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CF60AD" w:rsidRDefault="00742DE4" w:rsidP="009417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F60AD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sectPr w:rsidR="00BE53B6" w:rsidRPr="00CF60AD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17694DD" wp14:editId="3D3980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70A7D61"/>
    <w:multiLevelType w:val="hybridMultilevel"/>
    <w:tmpl w:val="9468DE60"/>
    <w:lvl w:ilvl="0" w:tplc="FF24BCC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4912C4"/>
    <w:multiLevelType w:val="hybridMultilevel"/>
    <w:tmpl w:val="0E18FBFE"/>
    <w:lvl w:ilvl="0" w:tplc="CD5A98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649505B"/>
    <w:multiLevelType w:val="hybridMultilevel"/>
    <w:tmpl w:val="736A38BE"/>
    <w:lvl w:ilvl="0" w:tplc="18B06A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10"/>
  </w:num>
  <w:num w:numId="12">
    <w:abstractNumId w:val="1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3665D"/>
    <w:rsid w:val="000409E2"/>
    <w:rsid w:val="000421AF"/>
    <w:rsid w:val="0004537F"/>
    <w:rsid w:val="00050D97"/>
    <w:rsid w:val="000542AC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3E01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958C6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41E"/>
    <w:rsid w:val="002F0F4B"/>
    <w:rsid w:val="002F2FF2"/>
    <w:rsid w:val="002F7A92"/>
    <w:rsid w:val="003044FB"/>
    <w:rsid w:val="00305219"/>
    <w:rsid w:val="00317814"/>
    <w:rsid w:val="00321983"/>
    <w:rsid w:val="00322F85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2F13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07C9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47EA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16DA"/>
    <w:rsid w:val="006E2196"/>
    <w:rsid w:val="006E3182"/>
    <w:rsid w:val="006E65B8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66606"/>
    <w:rsid w:val="0077051F"/>
    <w:rsid w:val="0078708E"/>
    <w:rsid w:val="007A44F4"/>
    <w:rsid w:val="007A5F1D"/>
    <w:rsid w:val="007A70C1"/>
    <w:rsid w:val="007B103F"/>
    <w:rsid w:val="007B25DF"/>
    <w:rsid w:val="007B4FF7"/>
    <w:rsid w:val="007C716C"/>
    <w:rsid w:val="007D167C"/>
    <w:rsid w:val="007D748F"/>
    <w:rsid w:val="007D74CB"/>
    <w:rsid w:val="007D7531"/>
    <w:rsid w:val="007D7A57"/>
    <w:rsid w:val="007E085F"/>
    <w:rsid w:val="007E0F65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269B7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17B6"/>
    <w:rsid w:val="00944327"/>
    <w:rsid w:val="009477BD"/>
    <w:rsid w:val="00956A09"/>
    <w:rsid w:val="009609A9"/>
    <w:rsid w:val="00964315"/>
    <w:rsid w:val="00976889"/>
    <w:rsid w:val="0098245D"/>
    <w:rsid w:val="00990D11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4A41"/>
    <w:rsid w:val="00A052E3"/>
    <w:rsid w:val="00A07FE1"/>
    <w:rsid w:val="00A1153E"/>
    <w:rsid w:val="00A1480D"/>
    <w:rsid w:val="00A17FF0"/>
    <w:rsid w:val="00A23CBD"/>
    <w:rsid w:val="00A31467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60F6"/>
    <w:rsid w:val="00B0716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60150"/>
    <w:rsid w:val="00B71FED"/>
    <w:rsid w:val="00B7589E"/>
    <w:rsid w:val="00B80C6C"/>
    <w:rsid w:val="00B8516B"/>
    <w:rsid w:val="00B87464"/>
    <w:rsid w:val="00B90E4C"/>
    <w:rsid w:val="00B9185B"/>
    <w:rsid w:val="00B97477"/>
    <w:rsid w:val="00B97D23"/>
    <w:rsid w:val="00BA02AC"/>
    <w:rsid w:val="00BA5475"/>
    <w:rsid w:val="00BA6796"/>
    <w:rsid w:val="00BB5A8F"/>
    <w:rsid w:val="00BC0981"/>
    <w:rsid w:val="00BC182D"/>
    <w:rsid w:val="00BC2ACE"/>
    <w:rsid w:val="00BC384D"/>
    <w:rsid w:val="00BD17C3"/>
    <w:rsid w:val="00BD1F79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35F0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CF60AD"/>
    <w:rsid w:val="00D015F8"/>
    <w:rsid w:val="00D0236D"/>
    <w:rsid w:val="00D067EC"/>
    <w:rsid w:val="00D074F3"/>
    <w:rsid w:val="00D14E8A"/>
    <w:rsid w:val="00D22E02"/>
    <w:rsid w:val="00D25B11"/>
    <w:rsid w:val="00D3288B"/>
    <w:rsid w:val="00D3342D"/>
    <w:rsid w:val="00D423FA"/>
    <w:rsid w:val="00D50C9F"/>
    <w:rsid w:val="00D56BFE"/>
    <w:rsid w:val="00D67822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A69E5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45BF7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148A"/>
    <w:rsid w:val="00EB1C3A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2574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9</Pages>
  <Words>3715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123</cp:revision>
  <cp:lastPrinted>2014-12-29T09:49:00Z</cp:lastPrinted>
  <dcterms:created xsi:type="dcterms:W3CDTF">2014-12-29T11:08:00Z</dcterms:created>
  <dcterms:modified xsi:type="dcterms:W3CDTF">2018-10-29T13:39:00Z</dcterms:modified>
</cp:coreProperties>
</file>